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1"/>
          <w:szCs w:val="21"/>
        </w:rPr>
      </w:pPr>
      <w:r>
        <w:rPr>
          <w:rFonts w:hint="eastAsia"/>
          <w:b/>
          <w:sz w:val="21"/>
          <w:szCs w:val="21"/>
        </w:rPr>
        <w:t>附件1：</w:t>
      </w:r>
    </w:p>
    <w:p>
      <w:pPr>
        <w:jc w:val="center"/>
        <w:rPr>
          <w:rFonts w:hint="eastAsia"/>
          <w:b/>
          <w:sz w:val="24"/>
        </w:rPr>
      </w:pPr>
      <w:r>
        <w:rPr>
          <w:rFonts w:hint="eastAsia"/>
          <w:b/>
          <w:sz w:val="28"/>
          <w:szCs w:val="28"/>
          <w:lang w:eastAsia="zh-CN"/>
        </w:rPr>
        <w:t>六安分校</w:t>
      </w:r>
      <w:r>
        <w:rPr>
          <w:rFonts w:hint="eastAsia"/>
          <w:b/>
          <w:sz w:val="28"/>
          <w:szCs w:val="28"/>
          <w:lang w:val="en-US" w:eastAsia="zh-CN"/>
        </w:rPr>
        <w:t>201</w:t>
      </w:r>
      <w:r>
        <w:rPr>
          <w:rFonts w:hint="default"/>
          <w:b/>
          <w:sz w:val="28"/>
          <w:szCs w:val="28"/>
          <w:lang w:val="en-US" w:eastAsia="zh-CN"/>
        </w:rPr>
        <w:t>9</w:t>
      </w:r>
      <w:r>
        <w:rPr>
          <w:rFonts w:hint="eastAsia"/>
          <w:b/>
          <w:sz w:val="28"/>
          <w:szCs w:val="28"/>
          <w:lang w:val="en-US" w:eastAsia="zh-CN"/>
        </w:rPr>
        <w:t>年度</w:t>
      </w:r>
      <w:r>
        <w:rPr>
          <w:rFonts w:hint="eastAsia"/>
          <w:b/>
          <w:sz w:val="28"/>
          <w:szCs w:val="28"/>
        </w:rPr>
        <w:t>微课比赛推荐表</w:t>
      </w:r>
    </w:p>
    <w:tbl>
      <w:tblPr>
        <w:tblStyle w:val="2"/>
        <w:tblW w:w="90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8"/>
        <w:gridCol w:w="1126"/>
        <w:gridCol w:w="460"/>
        <w:gridCol w:w="1098"/>
        <w:gridCol w:w="1558"/>
        <w:gridCol w:w="1279"/>
        <w:gridCol w:w="14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作品名称</w:t>
            </w:r>
          </w:p>
        </w:tc>
        <w:tc>
          <w:tcPr>
            <w:tcW w:w="7274" w:type="dxa"/>
            <w:gridSpan w:val="7"/>
            <w:vAlign w:val="center"/>
          </w:tcPr>
          <w:p>
            <w:pPr>
              <w:jc w:val="both"/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8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适用专业</w:t>
            </w:r>
          </w:p>
        </w:tc>
        <w:tc>
          <w:tcPr>
            <w:tcW w:w="4242" w:type="dxa"/>
            <w:gridSpan w:val="4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1293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使用层次</w:t>
            </w:r>
          </w:p>
        </w:tc>
        <w:tc>
          <w:tcPr>
            <w:tcW w:w="1739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报名单位</w:t>
            </w:r>
          </w:p>
        </w:tc>
        <w:tc>
          <w:tcPr>
            <w:tcW w:w="4242" w:type="dxa"/>
            <w:gridSpan w:val="4"/>
            <w:vAlign w:val="center"/>
          </w:tcPr>
          <w:p/>
        </w:tc>
        <w:tc>
          <w:tcPr>
            <w:tcW w:w="3032" w:type="dxa"/>
            <w:gridSpan w:val="3"/>
            <w:vAlign w:val="center"/>
          </w:tcPr>
          <w:p>
            <w:r>
              <w:rPr>
                <w:rFonts w:hint="eastAsia"/>
              </w:rPr>
              <w:t>工作站（教学点）：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 w:ascii="宋体" w:hAnsi="宋体"/>
                <w:b/>
                <w:sz w:val="24"/>
              </w:rPr>
              <w:t>作者姓名</w:t>
            </w:r>
          </w:p>
        </w:tc>
        <w:tc>
          <w:tcPr>
            <w:tcW w:w="1126" w:type="dxa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</w:p>
        </w:tc>
        <w:tc>
          <w:tcPr>
            <w:tcW w:w="1558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电话</w:t>
            </w:r>
          </w:p>
        </w:tc>
        <w:tc>
          <w:tcPr>
            <w:tcW w:w="1558" w:type="dxa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</w:p>
        </w:tc>
        <w:tc>
          <w:tcPr>
            <w:tcW w:w="1279" w:type="dxa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电子邮箱</w:t>
            </w:r>
          </w:p>
        </w:tc>
        <w:tc>
          <w:tcPr>
            <w:tcW w:w="1753" w:type="dxa"/>
            <w:gridSpan w:val="2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参与人员</w:t>
            </w:r>
          </w:p>
        </w:tc>
        <w:tc>
          <w:tcPr>
            <w:tcW w:w="7274" w:type="dxa"/>
            <w:gridSpan w:val="7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1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作品简介及特色</w:t>
            </w:r>
          </w:p>
        </w:tc>
        <w:tc>
          <w:tcPr>
            <w:tcW w:w="7274" w:type="dxa"/>
            <w:gridSpan w:val="7"/>
            <w:vAlign w:val="center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both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3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  <w:b/>
                <w:sz w:val="24"/>
              </w:rPr>
              <w:t>初赛排名及推荐意见</w:t>
            </w:r>
          </w:p>
        </w:tc>
        <w:tc>
          <w:tcPr>
            <w:tcW w:w="7274" w:type="dxa"/>
            <w:gridSpan w:val="7"/>
            <w:vAlign w:val="center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1818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完成时间</w:t>
            </w:r>
          </w:p>
        </w:tc>
        <w:tc>
          <w:tcPr>
            <w:tcW w:w="1586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3949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</w:rPr>
              <w:t>是否愿意将您的资料公开</w:t>
            </w:r>
          </w:p>
        </w:tc>
        <w:tc>
          <w:tcPr>
            <w:tcW w:w="1739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szCs w:val="21"/>
              </w:rPr>
              <w:t>同意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szCs w:val="21"/>
              </w:rPr>
              <w:t>不同意</w:t>
            </w:r>
          </w:p>
        </w:tc>
      </w:tr>
    </w:tbl>
    <w:p>
      <w:pPr>
        <w:rPr>
          <w:rFonts w:hint="eastAsia"/>
          <w:b/>
          <w:szCs w:val="21"/>
        </w:rPr>
      </w:pPr>
    </w:p>
    <w:p>
      <w:pPr>
        <w:rPr>
          <w:rFonts w:hint="eastAsia"/>
          <w:b/>
          <w:szCs w:val="21"/>
        </w:rPr>
      </w:pPr>
    </w:p>
    <w:p>
      <w:pPr>
        <w:rPr>
          <w:rFonts w:hint="eastAsia"/>
          <w:b/>
          <w:szCs w:val="21"/>
        </w:rPr>
      </w:pPr>
    </w:p>
    <w:p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附件2</w:t>
      </w:r>
    </w:p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六安</w:t>
      </w:r>
      <w:r>
        <w:rPr>
          <w:rFonts w:hint="eastAsia"/>
          <w:b/>
          <w:sz w:val="32"/>
          <w:lang w:eastAsia="zh-CN"/>
        </w:rPr>
        <w:t>分校</w:t>
      </w:r>
      <w:r>
        <w:rPr>
          <w:rFonts w:hint="eastAsia"/>
          <w:b/>
          <w:sz w:val="32"/>
        </w:rPr>
        <w:t>201</w:t>
      </w:r>
      <w:r>
        <w:rPr>
          <w:rFonts w:hint="default"/>
          <w:b/>
          <w:sz w:val="32"/>
          <w:lang w:val="en-US"/>
        </w:rPr>
        <w:t>9</w:t>
      </w:r>
      <w:bookmarkStart w:id="0" w:name="_GoBack"/>
      <w:bookmarkEnd w:id="0"/>
      <w:r>
        <w:rPr>
          <w:rFonts w:hint="eastAsia"/>
          <w:b/>
          <w:sz w:val="32"/>
        </w:rPr>
        <w:t>年度微课大赛作品汇总表</w:t>
      </w:r>
    </w:p>
    <w:p>
      <w:pPr>
        <w:jc w:val="center"/>
        <w:rPr>
          <w:rFonts w:hint="eastAsia"/>
          <w:sz w:val="24"/>
        </w:rPr>
      </w:pPr>
    </w:p>
    <w:tbl>
      <w:tblPr>
        <w:tblStyle w:val="2"/>
        <w:tblW w:w="90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6"/>
        <w:gridCol w:w="1044"/>
        <w:gridCol w:w="5040"/>
        <w:gridCol w:w="9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1296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</w:t>
            </w:r>
          </w:p>
        </w:tc>
        <w:tc>
          <w:tcPr>
            <w:tcW w:w="1044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作者</w:t>
            </w:r>
          </w:p>
        </w:tc>
        <w:tc>
          <w:tcPr>
            <w:tcW w:w="5040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作品名称</w:t>
            </w:r>
          </w:p>
        </w:tc>
        <w:tc>
          <w:tcPr>
            <w:tcW w:w="930" w:type="dxa"/>
            <w:vAlign w:val="top"/>
          </w:tcPr>
          <w:p>
            <w:pPr>
              <w:spacing w:line="560" w:lineRule="exact"/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5040" w:type="dxa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5040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5040" w:type="dxa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5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040" w:type="dxa"/>
            <w:vAlign w:val="center"/>
          </w:tcPr>
          <w:p>
            <w:pPr>
              <w:spacing w:line="5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296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1044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5040" w:type="dxa"/>
            <w:vAlign w:val="top"/>
          </w:tcPr>
          <w:p>
            <w:pPr>
              <w:spacing w:line="560" w:lineRule="exact"/>
            </w:pPr>
          </w:p>
        </w:tc>
        <w:tc>
          <w:tcPr>
            <w:tcW w:w="930" w:type="dxa"/>
            <w:vAlign w:val="top"/>
          </w:tcPr>
          <w:p>
            <w:pPr>
              <w:spacing w:line="560" w:lineRule="exact"/>
            </w:pPr>
          </w:p>
        </w:tc>
      </w:tr>
    </w:tbl>
    <w:p>
      <w:pPr>
        <w:spacing w:line="560" w:lineRule="exact"/>
      </w:pPr>
    </w:p>
    <w:p/>
    <w:p/>
    <w:p/>
    <w:p/>
    <w:p/>
    <w:p/>
    <w:p/>
    <w:p/>
    <w:p/>
    <w:p/>
    <w:p/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附件</w:t>
      </w:r>
      <w:r>
        <w:rPr>
          <w:rFonts w:hint="eastAsia"/>
          <w:b/>
          <w:bCs/>
          <w:sz w:val="24"/>
          <w:szCs w:val="24"/>
          <w:lang w:val="en-US" w:eastAsia="zh-CN"/>
        </w:rPr>
        <w:t>3</w:t>
      </w:r>
    </w:p>
    <w:p>
      <w:pPr>
        <w:spacing w:line="360" w:lineRule="auto"/>
        <w:ind w:firstLine="643" w:firstLineChars="200"/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微课比赛视频制作参考标准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一.教学设计：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1.选题设计：所选知识点相对完整且独立，短小精悍，可以在15分钟内完成学习；确定教学设计思路，设计教学环境、教学资源和教学过程，形成教学设计方案；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2.内容设计：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（1）以问题、案例或某种情境导入教学内容或进行拓展延伸，，且以现实问题、案例为佳；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（2）教学内容逻辑清晰，无冗余，无学术性错误；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（3）教学内容讲解清楚、透彻，前后衔接顺畅，无跳跃感；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（4）设计脚本。将授课PPT、授课录像、各类媒体资源、画面、旁白等元素按照教学讲解进程进行合理安排和布局设计；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（5）教学资源制作。制作授课PPT、授课录像以及支持教学过程的各类媒体素材资源的设计与制作；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（6）资源编辑。将授课内容、旁白、字幕、画面、各类资源与教学PPT进行剪辑，形成可播放的、清楚解读某一技能节点（工作知识点）的完整教学单元视频。: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3.教学过程设计：教学过程深入浅出，形象生动，精彩有趣，启发引导性强，有利于提升学生学习的积极性主动性；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二、微课视频主要技术规范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1.视频图像清晰稳定、构图合理、声音清楚，主要教学环节有字幕提示；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2.视频时长5-15分钟为宜（时长一般不超过15分钟），格式为MP4（AVC编码）；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3.前期采用4:3拍摄时，分辨率设定为640×480；前期采用16:9拍摄时，分辨率设定为1280×720；帧频25帧/秒；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4.视频片头应显示微课标题、微课编码（隶属课程编码）、作者、教学单位；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5.声音：音频比特率为44～48kbps,采样率为44～128KHz，双声道，声音与画面同步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6.画面：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（1）画面协调，色彩搭配合理，转场过渡自然，无明显抖动，风格、基调与脚本要求一致；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（2）画面文本：字型字号适中，无错别字；错字率在1%以下；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（3）画面用图：图像像素在72dpi以上，无明显锯齿；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7.解说：解说为标准普通话（语言类教学除外），吐字清晰，无口音、口误，有节奏感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8.字幕：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（1）同期声字幕：在画面下下方显示同期声字幕，每行不超过25个字；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（2）重点内容提示字幕：同类性质的内容字型、字号、所处画面位置遗址，大小适中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9.视频片尾为版权信息等。</w:t>
      </w:r>
    </w:p>
    <w:p>
      <w:pPr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附件4：</w:t>
      </w:r>
    </w:p>
    <w:p>
      <w:pPr>
        <w:ind w:firstLine="2249" w:firstLineChars="700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六安电大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微课大赛评审表</w:t>
      </w:r>
    </w:p>
    <w:tbl>
      <w:tblPr>
        <w:tblStyle w:val="2"/>
        <w:tblW w:w="949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9"/>
        <w:gridCol w:w="7188"/>
        <w:gridCol w:w="113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项目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评价标准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得分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作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品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规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范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（10分）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kern w:val="0"/>
                <w:szCs w:val="21"/>
              </w:rPr>
              <w:t>一</w:t>
            </w:r>
            <w:r>
              <w:rPr>
                <w:rFonts w:ascii="宋体" w:hAnsi="宋体" w:cs="宋体"/>
                <w:b/>
                <w:kern w:val="0"/>
                <w:szCs w:val="21"/>
              </w:rPr>
              <w:t>、 材料完整（5分）</w:t>
            </w:r>
            <w:r>
              <w:rPr>
                <w:rFonts w:ascii="宋体" w:hAnsi="宋体" w:cs="宋体"/>
                <w:kern w:val="0"/>
                <w:szCs w:val="21"/>
              </w:rPr>
              <w:t>：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包含微课视频，以及在微课录制过程中使用到的全部辅助扩展资料：教学方案设计、课件等。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二、技术规范（5分）：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1．微课视频：时长5-15分钟；视频图像清晰稳定、构图合理、声音清楚，主要教学环节有字幕提示等；视频片头应显示标题、作者、单位。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2．多媒体教学课件：配合视频讲授使用的主要教学课件限定为PPT格式，需单独文件提交；其他拓展资料符合网站上传要求。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3．教学方案设计表内应注明讲课内容所属学科、专业、课程及适用对象等信息。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教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学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安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排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（45分）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一、选题价值（5分）：</w:t>
            </w:r>
            <w:r>
              <w:rPr>
                <w:rFonts w:ascii="宋体" w:hAnsi="宋体" w:cs="宋体"/>
                <w:kern w:val="0"/>
                <w:szCs w:val="21"/>
              </w:rPr>
              <w:t>选取教学环节中某一知识点、专题、实验活动作为选题，针对教学中的常见、典型、有代表性的问题或内容进行设计，类型包括但不限于：教授类、解题类、答疑类、实验类、活动类。选题尽量“小而精”，具备独立性、完整性、示范性、代表性，能够有效解决教与学过程中的重点、难点问题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二、教学设计与组织（20分）：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1．教学方案：围绕选题设计，突出重点，注重实效；教学目的明确，教学思路清晰，注重学生全面发展。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2．教学内容：严谨充实，无科学性、政策性错误，能理论联系实际，反映社会和学科发展。</w:t>
            </w:r>
          </w:p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3．教学组织与编排：要符合学生的认知规律；教学过程主线清晰、重点突出，逻辑性强，明了易懂；注重突出学生的主体性以及教与学活动有机结合。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三、教学方法与手段（20分）：</w:t>
            </w:r>
            <w:r>
              <w:rPr>
                <w:rFonts w:ascii="宋体" w:hAnsi="宋体" w:cs="宋体"/>
                <w:kern w:val="0"/>
                <w:szCs w:val="21"/>
              </w:rPr>
              <w:t>教学策略选择正确，注重调动学生的学习积极性和创造性思维能力；能根据教学需求选用灵活适当的教学方法；信息技术手段运用合理，正确选择使用各种教学媒体，教学辅助效果好。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教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学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效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果</w:t>
            </w:r>
          </w:p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（45分）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一、目标达成(15分)：</w:t>
            </w:r>
            <w:r>
              <w:rPr>
                <w:rFonts w:ascii="宋体" w:hAnsi="宋体" w:cs="宋体"/>
                <w:kern w:val="0"/>
                <w:szCs w:val="21"/>
              </w:rPr>
              <w:t xml:space="preserve"> 完成设定的教学目标，有效解决实际教学问题，能促进学生思维能力提高。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二、教学特色(20分)：</w:t>
            </w:r>
            <w:r>
              <w:rPr>
                <w:rFonts w:ascii="宋体" w:hAnsi="宋体" w:cs="宋体"/>
                <w:kern w:val="0"/>
                <w:szCs w:val="21"/>
              </w:rPr>
              <w:t>教学形式新颖，教学过程深入浅出，形象生动，趣味性和启发性强，教学氛围的营造有利于提升学生学习的积极主动性。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b/>
                <w:kern w:val="0"/>
                <w:szCs w:val="21"/>
              </w:rPr>
              <w:t>三、教师风采（10分）：</w:t>
            </w:r>
            <w:r>
              <w:rPr>
                <w:rFonts w:ascii="宋体" w:hAnsi="宋体" w:cs="宋体"/>
                <w:kern w:val="0"/>
                <w:szCs w:val="21"/>
              </w:rPr>
              <w:t>教师教学语言规范、清晰，富有感染力；教师仪表得当，严守职业规范，能展现良好的教学风貌和个人魅力。若无教师形象出现，画面流畅，形象生动，精彩有趣，启发引导性强，有利于提升学生学习积极主动性。</w:t>
            </w: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45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总分</w:t>
            </w:r>
          </w:p>
        </w:tc>
        <w:tc>
          <w:tcPr>
            <w:tcW w:w="7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36743"/>
    <w:rsid w:val="1D3374FB"/>
    <w:rsid w:val="27E24E0F"/>
    <w:rsid w:val="43CA3D62"/>
    <w:rsid w:val="6EE20EE0"/>
    <w:rsid w:val="79990BC6"/>
    <w:rsid w:val="7CFB38C5"/>
    <w:rsid w:val="7E3137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2019-11-06T00:39:06Z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