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附件2：</w:t>
      </w:r>
    </w:p>
    <w:p>
      <w:pPr>
        <w:spacing w:line="440" w:lineRule="exact"/>
        <w:jc w:val="center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lang w:eastAsia="zh-CN"/>
        </w:rPr>
        <w:t>安徽广播电视大学六安分校</w:t>
      </w:r>
      <w:r>
        <w:rPr>
          <w:rFonts w:hint="eastAsia" w:ascii="宋体" w:hAnsi="宋体" w:cs="宋体"/>
          <w:b/>
          <w:bCs/>
          <w:sz w:val="28"/>
          <w:lang w:val="en-US" w:eastAsia="zh-CN"/>
        </w:rPr>
        <w:t>2021年度</w:t>
      </w:r>
      <w:r>
        <w:rPr>
          <w:rFonts w:hint="eastAsia" w:ascii="宋体" w:hAnsi="宋体" w:cs="宋体"/>
          <w:b/>
          <w:bCs/>
          <w:sz w:val="28"/>
          <w:szCs w:val="28"/>
        </w:rPr>
        <w:t>青年教师教学基本功暨“课程思政”</w:t>
      </w:r>
      <w:bookmarkStart w:id="0" w:name="_GoBack"/>
      <w:bookmarkEnd w:id="0"/>
      <w:r>
        <w:rPr>
          <w:rFonts w:hint="eastAsia" w:ascii="宋体" w:hAnsi="宋体" w:cs="宋体"/>
          <w:b/>
          <w:bCs/>
          <w:sz w:val="28"/>
          <w:szCs w:val="28"/>
        </w:rPr>
        <w:t>教学大赛教学设计评分表</w:t>
      </w:r>
    </w:p>
    <w:tbl>
      <w:tblPr>
        <w:tblStyle w:val="2"/>
        <w:tblW w:w="866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0"/>
        <w:gridCol w:w="688"/>
        <w:gridCol w:w="4626"/>
        <w:gridCol w:w="229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2" w:hRule="atLeast"/>
          <w:jc w:val="center"/>
        </w:trPr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20" w:lineRule="exact"/>
              <w:jc w:val="center"/>
              <w:rPr>
                <w:rFonts w:ascii="黑体" w:hAnsi="宋体" w:eastAsia="黑体"/>
                <w:b/>
                <w:bCs/>
                <w:sz w:val="28"/>
              </w:rPr>
            </w:pPr>
            <w:r>
              <w:rPr>
                <w:rFonts w:hint="eastAsia" w:ascii="黑体" w:eastAsia="黑体"/>
                <w:b/>
                <w:bCs/>
                <w:sz w:val="28"/>
              </w:rPr>
              <w:t>指标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20" w:lineRule="exact"/>
              <w:jc w:val="center"/>
              <w:rPr>
                <w:rFonts w:ascii="黑体" w:hAnsi="宋体" w:eastAsia="黑体"/>
                <w:b/>
                <w:bCs/>
                <w:sz w:val="28"/>
              </w:rPr>
            </w:pPr>
            <w:r>
              <w:rPr>
                <w:rFonts w:hint="eastAsia" w:ascii="黑体" w:eastAsia="黑体"/>
                <w:b/>
                <w:bCs/>
                <w:sz w:val="28"/>
              </w:rPr>
              <w:t>分值</w:t>
            </w:r>
          </w:p>
        </w:tc>
        <w:tc>
          <w:tcPr>
            <w:tcW w:w="46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20" w:lineRule="exact"/>
              <w:jc w:val="center"/>
              <w:rPr>
                <w:rFonts w:ascii="黑体" w:hAnsi="宋体" w:eastAsia="黑体"/>
                <w:b/>
                <w:bCs/>
                <w:sz w:val="28"/>
              </w:rPr>
            </w:pPr>
            <w:r>
              <w:rPr>
                <w:rFonts w:hint="eastAsia" w:ascii="黑体" w:eastAsia="黑体"/>
                <w:b/>
                <w:bCs/>
                <w:sz w:val="28"/>
              </w:rPr>
              <w:t>评价标准</w:t>
            </w:r>
          </w:p>
        </w:tc>
        <w:tc>
          <w:tcPr>
            <w:tcW w:w="2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20" w:lineRule="exact"/>
              <w:jc w:val="center"/>
              <w:rPr>
                <w:rFonts w:ascii="黑体" w:eastAsia="黑体"/>
                <w:b/>
                <w:bCs/>
                <w:sz w:val="28"/>
              </w:rPr>
            </w:pPr>
            <w:r>
              <w:rPr>
                <w:rFonts w:hint="eastAsia" w:ascii="黑体" w:eastAsia="黑体"/>
                <w:b/>
                <w:bCs/>
                <w:sz w:val="28"/>
              </w:rPr>
              <w:t>得分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4" w:hRule="atLeast"/>
          <w:jc w:val="center"/>
        </w:trPr>
        <w:tc>
          <w:tcPr>
            <w:tcW w:w="105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b/>
                <w:bCs/>
                <w:sz w:val="22"/>
              </w:rPr>
            </w:pPr>
          </w:p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教学目标</w:t>
            </w:r>
            <w:r>
              <w:rPr>
                <w:b/>
                <w:bCs/>
                <w:sz w:val="22"/>
              </w:rPr>
              <w:br w:type="textWrapping"/>
            </w:r>
          </w:p>
        </w:tc>
        <w:tc>
          <w:tcPr>
            <w:tcW w:w="68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/>
                <w:sz w:val="22"/>
              </w:rPr>
              <w:t>教学目标包含知识、能力、素质三个维度</w:t>
            </w:r>
          </w:p>
        </w:tc>
        <w:tc>
          <w:tcPr>
            <w:tcW w:w="2297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24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/>
                <w:sz w:val="22"/>
              </w:rPr>
              <w:t>知识和能力目标体现渐进性、创新性和挑战度</w:t>
            </w:r>
          </w:p>
        </w:tc>
        <w:tc>
          <w:tcPr>
            <w:tcW w:w="2297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0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/>
                <w:sz w:val="22"/>
              </w:rPr>
              <w:t>素质目标体现价值的引领性、和知识的融入度</w:t>
            </w:r>
          </w:p>
        </w:tc>
        <w:tc>
          <w:tcPr>
            <w:tcW w:w="2297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2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/>
                <w:sz w:val="22"/>
              </w:rPr>
              <w:t>目标设计明确、具体、可操作</w:t>
            </w:r>
          </w:p>
        </w:tc>
        <w:tc>
          <w:tcPr>
            <w:tcW w:w="2297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  <w:jc w:val="center"/>
        </w:trPr>
        <w:tc>
          <w:tcPr>
            <w:tcW w:w="105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教学方法</w:t>
            </w:r>
          </w:p>
        </w:tc>
        <w:tc>
          <w:tcPr>
            <w:tcW w:w="68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15</w:t>
            </w: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/>
                <w:sz w:val="22"/>
              </w:rPr>
              <w:t>了解学生基础，方法设计充分体现“以学生为中心”的教学理念</w:t>
            </w:r>
          </w:p>
        </w:tc>
        <w:tc>
          <w:tcPr>
            <w:tcW w:w="2297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7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/>
                <w:sz w:val="22"/>
              </w:rPr>
              <w:t>设计符合成人学习特点的学法指导</w:t>
            </w:r>
          </w:p>
        </w:tc>
        <w:tc>
          <w:tcPr>
            <w:tcW w:w="2297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9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/>
                <w:sz w:val="22"/>
              </w:rPr>
              <w:t>根据讲课内容，选择恰当的教学方法</w:t>
            </w:r>
          </w:p>
        </w:tc>
        <w:tc>
          <w:tcPr>
            <w:tcW w:w="2297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6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color w:val="FF0000"/>
                <w:sz w:val="22"/>
              </w:rPr>
            </w:pP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教学方法多样，注重参与式、互动式和启发式教学，具有创新性</w:t>
            </w:r>
          </w:p>
        </w:tc>
        <w:tc>
          <w:tcPr>
            <w:tcW w:w="2297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" w:hRule="atLeast"/>
          <w:jc w:val="center"/>
        </w:trPr>
        <w:tc>
          <w:tcPr>
            <w:tcW w:w="1050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教学内容</w:t>
            </w:r>
          </w:p>
        </w:tc>
        <w:tc>
          <w:tcPr>
            <w:tcW w:w="688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30</w:t>
            </w: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教学重难点清晰，</w:t>
            </w:r>
            <w:r>
              <w:rPr>
                <w:rFonts w:hint="eastAsia" w:ascii="宋体" w:hAnsi="宋体"/>
                <w:sz w:val="22"/>
              </w:rPr>
              <w:t>教学设计合理，能够促使学生体验和反思，促进学生主动学习</w:t>
            </w:r>
          </w:p>
        </w:tc>
        <w:tc>
          <w:tcPr>
            <w:tcW w:w="2297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" w:hRule="atLeast"/>
          <w:jc w:val="center"/>
        </w:trPr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bidi="ar"/>
              </w:rPr>
              <w:t>注重内容创新，</w:t>
            </w:r>
            <w:r>
              <w:rPr>
                <w:rFonts w:hint="eastAsia"/>
                <w:sz w:val="22"/>
              </w:rPr>
              <w:t>突出理论性、时代性和创新性，反映本学科前沿理论和最新成果</w:t>
            </w:r>
          </w:p>
        </w:tc>
        <w:tc>
          <w:tcPr>
            <w:tcW w:w="2297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" w:hRule="atLeast"/>
          <w:jc w:val="center"/>
        </w:trPr>
        <w:tc>
          <w:tcPr>
            <w:tcW w:w="105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注重理论联系实际，案例选择符合国情社情，体现时代性、科学性和针对性</w:t>
            </w:r>
          </w:p>
        </w:tc>
        <w:tc>
          <w:tcPr>
            <w:tcW w:w="2297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" w:hRule="atLeast"/>
          <w:jc w:val="center"/>
        </w:trPr>
        <w:tc>
          <w:tcPr>
            <w:tcW w:w="10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课程思政元素明确，案例选择恰当</w:t>
            </w:r>
          </w:p>
        </w:tc>
        <w:tc>
          <w:tcPr>
            <w:tcW w:w="2297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0" w:hRule="atLeast"/>
          <w:jc w:val="center"/>
        </w:trPr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教学过程</w:t>
            </w:r>
          </w:p>
        </w:tc>
        <w:tc>
          <w:tcPr>
            <w:tcW w:w="6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</w:t>
            </w:r>
          </w:p>
        </w:tc>
        <w:tc>
          <w:tcPr>
            <w:tcW w:w="4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/>
                <w:sz w:val="22"/>
              </w:rPr>
              <w:t>教学过程设计合理，教学环节齐全</w:t>
            </w:r>
          </w:p>
        </w:tc>
        <w:tc>
          <w:tcPr>
            <w:tcW w:w="2297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5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/>
                <w:sz w:val="22"/>
              </w:rPr>
              <w:t>时间安排紧凑，分配合理，授课思路清晰、逻辑性强</w:t>
            </w:r>
          </w:p>
        </w:tc>
        <w:tc>
          <w:tcPr>
            <w:tcW w:w="2297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5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/>
                <w:sz w:val="22"/>
              </w:rPr>
              <w:t>有效融入课程思政元素，且与教学目标相一致</w:t>
            </w:r>
          </w:p>
        </w:tc>
        <w:tc>
          <w:tcPr>
            <w:tcW w:w="2297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5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教学环节与环境创设合理</w:t>
            </w:r>
          </w:p>
        </w:tc>
        <w:tc>
          <w:tcPr>
            <w:tcW w:w="2297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77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教学活动设计充分发挥学生的主体作用，能促使学生积极、主动参与</w:t>
            </w:r>
          </w:p>
        </w:tc>
        <w:tc>
          <w:tcPr>
            <w:tcW w:w="2297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6" w:hRule="atLeast"/>
          <w:jc w:val="center"/>
        </w:trPr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效果评价</w:t>
            </w:r>
          </w:p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</w:t>
            </w:r>
          </w:p>
        </w:tc>
        <w:tc>
          <w:tcPr>
            <w:tcW w:w="46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教学设计注重落实 “立德树人”根本任务，有效实现育人与育才的统一</w:t>
            </w:r>
          </w:p>
        </w:tc>
        <w:tc>
          <w:tcPr>
            <w:tcW w:w="2297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3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注重创新，有明确的创新点</w:t>
            </w:r>
          </w:p>
        </w:tc>
        <w:tc>
          <w:tcPr>
            <w:tcW w:w="2297" w:type="dxa"/>
            <w:vMerge w:val="continue"/>
            <w:tcBorders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8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能有效激发学生学习兴趣，切实提高学生自主学习能力</w:t>
            </w:r>
          </w:p>
        </w:tc>
        <w:tc>
          <w:tcPr>
            <w:tcW w:w="2297" w:type="dxa"/>
            <w:vMerge w:val="continue"/>
            <w:tcBorders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0" w:hRule="atLeast"/>
          <w:jc w:val="center"/>
        </w:trPr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2"/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线上线下相互融合，有效实现互补</w:t>
            </w:r>
          </w:p>
        </w:tc>
        <w:tc>
          <w:tcPr>
            <w:tcW w:w="229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  <w:jc w:val="center"/>
        </w:trPr>
        <w:tc>
          <w:tcPr>
            <w:tcW w:w="63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ascii="黑体" w:hAnsi="宋体" w:eastAsia="黑体"/>
                <w:b/>
                <w:bCs/>
                <w:sz w:val="28"/>
                <w:szCs w:val="28"/>
              </w:rPr>
            </w:pPr>
            <w:r>
              <w:rPr>
                <w:rFonts w:hint="eastAsia" w:ascii="黑体" w:eastAsia="黑体"/>
                <w:b/>
                <w:bCs/>
                <w:sz w:val="28"/>
                <w:szCs w:val="28"/>
              </w:rPr>
              <w:t>总分</w:t>
            </w:r>
          </w:p>
        </w:tc>
        <w:tc>
          <w:tcPr>
            <w:tcW w:w="2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bottom"/>
          </w:tcPr>
          <w:p>
            <w:pPr>
              <w:jc w:val="center"/>
              <w:rPr>
                <w:rFonts w:ascii="黑体" w:hAnsi="宋体" w:eastAsia="黑体"/>
                <w:bCs/>
                <w:sz w:val="28"/>
                <w:szCs w:val="28"/>
              </w:rPr>
            </w:pPr>
            <w:r>
              <w:rPr>
                <w:rFonts w:hint="eastAsia" w:ascii="黑体" w:hAnsi="宋体" w:eastAsia="黑体"/>
                <w:bCs/>
                <w:sz w:val="28"/>
                <w:szCs w:val="28"/>
              </w:rPr>
              <w:t>100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C06E50"/>
    <w:rsid w:val="5BD15F1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gyb1</cp:lastModifiedBy>
  <dcterms:modified xsi:type="dcterms:W3CDTF">2021-04-22T01:41:18Z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02F700049D69455791239C35FF23214D</vt:lpwstr>
  </property>
</Properties>
</file>