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rPr>
          <w:rFonts w:hint="default" w:ascii="方正小标宋简体" w:hAnsi="黑体" w:eastAsia="方正小标宋简体"/>
          <w:color w:val="000000"/>
          <w:spacing w:val="-6"/>
          <w:kern w:val="0"/>
          <w:sz w:val="36"/>
          <w:szCs w:val="36"/>
          <w:lang w:val="en-US"/>
        </w:rPr>
      </w:pPr>
      <w:r>
        <w:rPr>
          <w:rStyle w:val="34"/>
          <w:rFonts w:ascii="宋体" w:hAnsi="宋体" w:eastAsia="宋体"/>
          <w:sz w:val="24"/>
          <w:szCs w:val="24"/>
          <w:lang w:eastAsia="zh-CN"/>
        </w:rPr>
        <w:t>附件</w:t>
      </w:r>
      <w:r>
        <w:rPr>
          <w:rStyle w:val="34"/>
          <w:rFonts w:hint="eastAsia" w:ascii="宋体" w:hAnsi="宋体" w:eastAsia="宋体"/>
          <w:sz w:val="24"/>
          <w:szCs w:val="24"/>
          <w:lang w:val="en-US" w:eastAsia="zh-CN"/>
        </w:rPr>
        <w:t>2</w:t>
      </w:r>
    </w:p>
    <w:p>
      <w:pPr>
        <w:spacing w:line="560" w:lineRule="exact"/>
        <w:jc w:val="center"/>
        <w:rPr>
          <w:rFonts w:ascii="方正小标宋简体" w:hAnsi="黑体" w:eastAsia="方正小标宋简体"/>
          <w:color w:val="000000"/>
          <w:spacing w:val="-6"/>
          <w:kern w:val="0"/>
          <w:sz w:val="36"/>
          <w:szCs w:val="36"/>
        </w:rPr>
      </w:pPr>
      <w:r>
        <w:rPr>
          <w:rFonts w:ascii="方正小标宋简体" w:hAnsi="黑体" w:eastAsia="方正小标宋简体"/>
          <w:color w:val="000000"/>
          <w:spacing w:val="-6"/>
          <w:kern w:val="0"/>
          <w:sz w:val="36"/>
          <w:szCs w:val="36"/>
        </w:rPr>
        <w:t>国家开放大学</w:t>
      </w:r>
      <w:r>
        <w:rPr>
          <w:rFonts w:hint="eastAsia" w:ascii="方正小标宋简体" w:hAnsi="黑体" w:eastAsia="方正小标宋简体"/>
          <w:color w:val="000000"/>
          <w:spacing w:val="-6"/>
          <w:kern w:val="0"/>
          <w:sz w:val="36"/>
          <w:szCs w:val="36"/>
        </w:rPr>
        <w:t>安徽分部六安分校办学评估指标任务分解</w:t>
      </w:r>
    </w:p>
    <w:p>
      <w:pPr>
        <w:spacing w:line="560" w:lineRule="exact"/>
        <w:jc w:val="left"/>
        <w:rPr>
          <w:rFonts w:ascii="黑体" w:hAnsi="黑体" w:eastAsia="黑体"/>
          <w:sz w:val="32"/>
          <w:szCs w:val="36"/>
        </w:rPr>
      </w:pPr>
    </w:p>
    <w:tbl>
      <w:tblPr>
        <w:tblStyle w:val="9"/>
        <w:tblW w:w="47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1245"/>
        <w:gridCol w:w="2912"/>
        <w:gridCol w:w="5942"/>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456" w:type="pct"/>
            <w:shd w:val="clear" w:color="auto" w:fill="auto"/>
            <w:vAlign w:val="center"/>
          </w:tcPr>
          <w:p>
            <w:pPr>
              <w:jc w:val="center"/>
              <w:rPr>
                <w:rFonts w:ascii="仿宋_GB2312" w:hAnsi="Times New Roman" w:eastAsia="仿宋_GB2312"/>
                <w:color w:val="auto"/>
                <w:sz w:val="24"/>
              </w:rPr>
            </w:pPr>
            <w:r>
              <w:rPr>
                <w:rFonts w:hint="eastAsia" w:ascii="仿宋_GB2312" w:hAnsi="Times New Roman" w:eastAsia="仿宋_GB2312"/>
                <w:color w:val="auto"/>
                <w:sz w:val="24"/>
              </w:rPr>
              <w:t>一级</w:t>
            </w:r>
          </w:p>
          <w:p>
            <w:pPr>
              <w:jc w:val="center"/>
              <w:rPr>
                <w:rFonts w:ascii="仿宋_GB2312" w:hAnsi="Times New Roman" w:eastAsia="仿宋_GB2312"/>
                <w:color w:val="auto"/>
                <w:sz w:val="24"/>
              </w:rPr>
            </w:pPr>
            <w:r>
              <w:rPr>
                <w:rFonts w:hint="eastAsia" w:ascii="仿宋_GB2312" w:hAnsi="Times New Roman" w:eastAsia="仿宋_GB2312"/>
                <w:color w:val="auto"/>
                <w:sz w:val="24"/>
              </w:rPr>
              <w:t>指标</w:t>
            </w:r>
          </w:p>
        </w:tc>
        <w:tc>
          <w:tcPr>
            <w:tcW w:w="463" w:type="pct"/>
            <w:shd w:val="clear" w:color="auto" w:fill="auto"/>
            <w:vAlign w:val="center"/>
          </w:tcPr>
          <w:p>
            <w:pPr>
              <w:jc w:val="center"/>
              <w:rPr>
                <w:rFonts w:ascii="仿宋_GB2312" w:hAnsi="Times New Roman" w:eastAsia="仿宋_GB2312"/>
                <w:color w:val="auto"/>
                <w:sz w:val="24"/>
              </w:rPr>
            </w:pPr>
            <w:r>
              <w:rPr>
                <w:rFonts w:hint="eastAsia" w:ascii="仿宋_GB2312" w:hAnsi="Times New Roman" w:eastAsia="仿宋_GB2312"/>
                <w:color w:val="auto"/>
                <w:sz w:val="24"/>
              </w:rPr>
              <w:t>二级指标</w:t>
            </w:r>
          </w:p>
        </w:tc>
        <w:tc>
          <w:tcPr>
            <w:tcW w:w="1083" w:type="pct"/>
            <w:shd w:val="clear" w:color="auto" w:fill="auto"/>
            <w:vAlign w:val="center"/>
          </w:tcPr>
          <w:p>
            <w:pPr>
              <w:jc w:val="center"/>
              <w:rPr>
                <w:rFonts w:ascii="仿宋_GB2312" w:hAnsi="Times New Roman" w:eastAsia="仿宋_GB2312"/>
                <w:color w:val="auto"/>
                <w:sz w:val="24"/>
              </w:rPr>
            </w:pPr>
            <w:r>
              <w:rPr>
                <w:rFonts w:hint="eastAsia" w:ascii="仿宋_GB2312" w:hAnsi="Times New Roman" w:eastAsia="仿宋_GB2312"/>
                <w:color w:val="auto"/>
                <w:sz w:val="24"/>
              </w:rPr>
              <w:t>三级指标</w:t>
            </w:r>
          </w:p>
        </w:tc>
        <w:tc>
          <w:tcPr>
            <w:tcW w:w="2210" w:type="pct"/>
            <w:vAlign w:val="center"/>
          </w:tcPr>
          <w:p>
            <w:pPr>
              <w:jc w:val="center"/>
              <w:rPr>
                <w:rFonts w:ascii="仿宋_GB2312" w:hAnsi="Times New Roman" w:eastAsia="仿宋_GB2312"/>
                <w:color w:val="auto"/>
                <w:sz w:val="24"/>
              </w:rPr>
            </w:pPr>
            <w:r>
              <w:rPr>
                <w:rFonts w:hint="eastAsia" w:ascii="仿宋_GB2312" w:hAnsi="Times New Roman" w:eastAsia="仿宋_GB2312"/>
                <w:color w:val="auto"/>
                <w:sz w:val="24"/>
              </w:rPr>
              <w:t>观测点</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负责人/牵头部门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6" w:hRule="atLeast"/>
          <w:jc w:val="center"/>
        </w:trPr>
        <w:tc>
          <w:tcPr>
            <w:tcW w:w="456"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1.办学定位（40分）</w:t>
            </w:r>
          </w:p>
        </w:tc>
        <w:tc>
          <w:tcPr>
            <w:tcW w:w="463"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1.1 全面加强党的领导（15分）</w:t>
            </w:r>
          </w:p>
        </w:tc>
        <w:tc>
          <w:tcPr>
            <w:tcW w:w="1083"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1.1.1 全面加强党的领导，坚持社会主义办学方向，落实立德树人根本任务，培养德智体美劳全面发展的社会主义建设者和接班人（15分）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（1）学校发展定位及发展规划体现社会主义办学方向（4分）</w:t>
            </w:r>
          </w:p>
          <w:p>
            <w:pPr>
              <w:rPr>
                <w:rFonts w:ascii="仿宋_GB2312" w:hAnsi="Times New Roman" w:eastAsia="仿宋_GB2312"/>
                <w:color w:val="auto"/>
                <w:sz w:val="24"/>
              </w:rPr>
            </w:pPr>
            <w:r>
              <w:rPr>
                <w:rFonts w:hint="eastAsia" w:ascii="仿宋_GB2312" w:hAnsi="Times New Roman" w:eastAsia="仿宋_GB2312"/>
                <w:color w:val="auto"/>
                <w:sz w:val="24"/>
              </w:rPr>
              <w:t>（2）党委领导下的校长负责制及其落实情况（4分）</w:t>
            </w:r>
          </w:p>
          <w:p>
            <w:pPr>
              <w:rPr>
                <w:rFonts w:ascii="仿宋_GB2312" w:hAnsi="Times New Roman" w:eastAsia="仿宋_GB2312"/>
                <w:color w:val="auto"/>
                <w:sz w:val="24"/>
              </w:rPr>
            </w:pPr>
            <w:r>
              <w:rPr>
                <w:rFonts w:hint="eastAsia" w:ascii="仿宋_GB2312" w:hAnsi="Times New Roman" w:eastAsia="仿宋_GB2312"/>
                <w:color w:val="auto"/>
                <w:sz w:val="24"/>
              </w:rPr>
              <w:t>（3）立德树人培育体系和落实机制（4分）</w:t>
            </w:r>
          </w:p>
          <w:p>
            <w:pPr>
              <w:rPr>
                <w:rFonts w:ascii="仿宋_GB2312" w:hAnsi="Times New Roman" w:eastAsia="仿宋_GB2312"/>
                <w:color w:val="auto"/>
                <w:sz w:val="24"/>
              </w:rPr>
            </w:pP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456" w:type="pct"/>
            <w:vMerge w:val="continue"/>
            <w:shd w:val="clear" w:color="auto" w:fill="auto"/>
            <w:vAlign w:val="center"/>
          </w:tcPr>
          <w:p>
            <w:pPr>
              <w:jc w:val="center"/>
              <w:rPr>
                <w:color w:val="auto"/>
              </w:rPr>
            </w:pPr>
          </w:p>
        </w:tc>
        <w:tc>
          <w:tcPr>
            <w:tcW w:w="463" w:type="pct"/>
            <w:vMerge w:val="continue"/>
            <w:shd w:val="clear" w:color="auto" w:fill="auto"/>
            <w:vAlign w:val="center"/>
          </w:tcPr>
          <w:p>
            <w:pPr>
              <w:jc w:val="center"/>
              <w:rPr>
                <w:color w:val="auto"/>
              </w:rPr>
            </w:pPr>
          </w:p>
        </w:tc>
        <w:tc>
          <w:tcPr>
            <w:tcW w:w="1083" w:type="pct"/>
            <w:vMerge w:val="continue"/>
            <w:shd w:val="clear" w:color="auto" w:fill="auto"/>
            <w:vAlign w:val="center"/>
          </w:tcPr>
          <w:p>
            <w:pPr>
              <w:jc w:val="center"/>
              <w:rPr>
                <w:color w:val="auto"/>
              </w:rPr>
            </w:pPr>
          </w:p>
        </w:tc>
        <w:tc>
          <w:tcPr>
            <w:tcW w:w="2210" w:type="pct"/>
            <w:vAlign w:val="center"/>
          </w:tcPr>
          <w:p>
            <w:pPr>
              <w:jc w:val="center"/>
              <w:rPr>
                <w:color w:val="auto"/>
              </w:rPr>
            </w:pPr>
            <w:r>
              <w:rPr>
                <w:rFonts w:hint="eastAsia" w:ascii="仿宋_GB2312" w:hAnsi="Times New Roman" w:eastAsia="仿宋_GB2312"/>
                <w:color w:val="auto"/>
                <w:sz w:val="24"/>
              </w:rPr>
              <w:t>（4）培养方案在毕业要求和课程体系（包括第二课堂）中体现德智体美劳培养目标的情况（3分）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hint="eastAsia"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shd w:val="clear" w:color="auto" w:fill="auto"/>
            <w:vAlign w:val="center"/>
          </w:tcPr>
          <w:p>
            <w:pPr>
              <w:jc w:val="center"/>
              <w:rPr>
                <w:rFonts w:ascii="仿宋_GB2312" w:hAnsi="Times New Roman" w:eastAsia="仿宋_GB2312"/>
                <w:color w:val="auto"/>
                <w:sz w:val="24"/>
              </w:rPr>
            </w:pPr>
          </w:p>
        </w:tc>
        <w:tc>
          <w:tcPr>
            <w:tcW w:w="463" w:type="pc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1.2 强化思想政治教育（15分）</w:t>
            </w:r>
          </w:p>
        </w:tc>
        <w:tc>
          <w:tcPr>
            <w:tcW w:w="1083" w:type="pc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1.2.1 强化思想政治和新时代爱国主义教育，落实意识形态工作责任制，建立健全思想政治工作体系，形成“三全育人”工作格局（15分）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（1）思想政治和新时代爱国主义教育工作及其落实情况（重点看过程材料和实施效果）（6分）</w:t>
            </w:r>
          </w:p>
          <w:p>
            <w:pPr>
              <w:rPr>
                <w:rFonts w:ascii="仿宋_GB2312" w:hAnsi="Times New Roman" w:eastAsia="仿宋_GB2312"/>
                <w:color w:val="auto"/>
                <w:sz w:val="24"/>
              </w:rPr>
            </w:pPr>
            <w:r>
              <w:rPr>
                <w:rFonts w:hint="eastAsia" w:ascii="仿宋_GB2312" w:hAnsi="Times New Roman" w:eastAsia="仿宋_GB2312"/>
                <w:color w:val="auto"/>
                <w:sz w:val="24"/>
              </w:rPr>
              <w:t>（2）意识形态工作责任制及其落实情况（5分）</w:t>
            </w:r>
          </w:p>
          <w:p>
            <w:pPr>
              <w:rPr>
                <w:rFonts w:ascii="仿宋_GB2312" w:hAnsi="Times New Roman" w:eastAsia="仿宋_GB2312"/>
                <w:color w:val="auto"/>
                <w:sz w:val="24"/>
              </w:rPr>
            </w:pPr>
            <w:r>
              <w:rPr>
                <w:rFonts w:hint="eastAsia" w:ascii="仿宋_GB2312" w:hAnsi="Times New Roman" w:eastAsia="仿宋_GB2312"/>
                <w:color w:val="auto"/>
                <w:sz w:val="24"/>
              </w:rPr>
              <w:t>（3）“三全育人”工作体系文件资料、过程材料、工作效果（4分）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shd w:val="clear" w:color="auto" w:fill="auto"/>
            <w:vAlign w:val="center"/>
          </w:tcPr>
          <w:p>
            <w:pPr>
              <w:jc w:val="center"/>
              <w:rPr>
                <w:rFonts w:ascii="仿宋_GB2312" w:hAnsi="Times New Roman" w:eastAsia="仿宋_GB2312"/>
                <w:color w:val="auto"/>
                <w:sz w:val="24"/>
              </w:rPr>
            </w:pPr>
          </w:p>
        </w:tc>
        <w:tc>
          <w:tcPr>
            <w:tcW w:w="463" w:type="pc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1.3 重视大学文化建设（10分）</w:t>
            </w:r>
          </w:p>
        </w:tc>
        <w:tc>
          <w:tcPr>
            <w:tcW w:w="1083" w:type="pc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1.3.1 按照“统一品牌”要求，宣传学校文化，践行国家开放大学的质量观，运用国家开放大学的标识、校训、校歌营造校园氛围，落实好分部开展的各项文化活动；有分校校园文化建设（10分）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（1）环境文化是否充分使用开放大学标识、校训，校园文化氛围（3分）</w:t>
            </w:r>
          </w:p>
          <w:p>
            <w:pPr>
              <w:rPr>
                <w:rFonts w:ascii="仿宋_GB2312" w:hAnsi="Times New Roman" w:eastAsia="仿宋_GB2312"/>
                <w:color w:val="auto"/>
                <w:sz w:val="24"/>
              </w:rPr>
            </w:pPr>
            <w:r>
              <w:rPr>
                <w:rFonts w:hint="eastAsia" w:ascii="仿宋_GB2312" w:hAnsi="Times New Roman" w:eastAsia="仿宋_GB2312"/>
                <w:color w:val="auto"/>
                <w:sz w:val="24"/>
              </w:rPr>
              <w:t>（2）学校干部、教师、学生对开放大学的基本文化了解程度（2分）</w:t>
            </w:r>
          </w:p>
          <w:p>
            <w:pPr>
              <w:rPr>
                <w:rFonts w:ascii="仿宋_GB2312" w:hAnsi="Times New Roman" w:eastAsia="仿宋_GB2312"/>
                <w:color w:val="auto"/>
                <w:sz w:val="24"/>
              </w:rPr>
            </w:pPr>
            <w:r>
              <w:rPr>
                <w:rFonts w:hint="eastAsia" w:ascii="仿宋_GB2312" w:hAnsi="Times New Roman" w:eastAsia="仿宋_GB2312"/>
                <w:color w:val="auto"/>
                <w:sz w:val="24"/>
              </w:rPr>
              <w:t>（3）分部统一组织的各类文化活动落实情况（2分）</w:t>
            </w:r>
          </w:p>
          <w:p>
            <w:pPr>
              <w:rPr>
                <w:rFonts w:ascii="仿宋_GB2312" w:hAnsi="Times New Roman" w:eastAsia="仿宋_GB2312"/>
                <w:color w:val="auto"/>
                <w:sz w:val="24"/>
              </w:rPr>
            </w:pPr>
            <w:r>
              <w:rPr>
                <w:rFonts w:hint="eastAsia" w:ascii="仿宋_GB2312" w:hAnsi="Times New Roman" w:eastAsia="仿宋_GB2312"/>
                <w:color w:val="auto"/>
                <w:sz w:val="24"/>
              </w:rPr>
              <w:t>（4）分校校园文化建设（3分）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456"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2.体系办学（120分）</w:t>
            </w: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 xml:space="preserve">2.1 </w:t>
            </w:r>
            <w:r>
              <w:rPr>
                <w:rFonts w:hint="eastAsia" w:ascii="仿宋_GB2312" w:hAnsi="Times New Roman" w:eastAsia="仿宋_GB2312"/>
                <w:color w:val="auto"/>
                <w:sz w:val="24"/>
                <w:lang w:eastAsia="zh-CN"/>
              </w:rPr>
              <w:t>总</w:t>
            </w:r>
            <w:r>
              <w:rPr>
                <w:rFonts w:hint="eastAsia" w:ascii="仿宋_GB2312" w:hAnsi="Times New Roman" w:eastAsia="仿宋_GB2312"/>
                <w:color w:val="auto"/>
                <w:sz w:val="24"/>
              </w:rPr>
              <w:t>部教学相关工作落实情况（20分）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2.1.1 及时传达、部署、完成</w:t>
            </w:r>
            <w:r>
              <w:rPr>
                <w:rFonts w:hint="eastAsia" w:ascii="仿宋_GB2312" w:hAnsi="Times New Roman" w:eastAsia="仿宋_GB2312"/>
                <w:color w:val="auto"/>
                <w:sz w:val="24"/>
                <w:lang w:eastAsia="zh-CN"/>
              </w:rPr>
              <w:t>总部及</w:t>
            </w:r>
            <w:r>
              <w:rPr>
                <w:rFonts w:hint="eastAsia" w:ascii="仿宋_GB2312" w:hAnsi="Times New Roman" w:eastAsia="仿宋_GB2312"/>
                <w:color w:val="auto"/>
                <w:sz w:val="24"/>
              </w:rPr>
              <w:t>分部教学相关文件要求（10分）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（1）有对分部文件的转发、部署、落实等工作机制和记录（5分）</w:t>
            </w:r>
          </w:p>
          <w:p>
            <w:pPr>
              <w:rPr>
                <w:rFonts w:ascii="仿宋_GB2312" w:hAnsi="Times New Roman" w:eastAsia="仿宋_GB2312"/>
                <w:color w:val="auto"/>
                <w:sz w:val="24"/>
              </w:rPr>
            </w:pPr>
            <w:r>
              <w:rPr>
                <w:rFonts w:hint="eastAsia" w:ascii="仿宋_GB2312" w:hAnsi="Times New Roman" w:eastAsia="仿宋_GB2312"/>
                <w:color w:val="auto"/>
                <w:sz w:val="24"/>
              </w:rPr>
              <w:t>（2）落实</w:t>
            </w:r>
            <w:r>
              <w:rPr>
                <w:rFonts w:hint="eastAsia" w:ascii="仿宋_GB2312" w:hAnsi="Times New Roman" w:eastAsia="仿宋_GB2312"/>
                <w:color w:val="auto"/>
                <w:sz w:val="24"/>
                <w:lang w:eastAsia="zh-CN"/>
              </w:rPr>
              <w:t>总部及</w:t>
            </w:r>
            <w:r>
              <w:rPr>
                <w:rFonts w:hint="eastAsia" w:ascii="仿宋_GB2312" w:hAnsi="Times New Roman" w:eastAsia="仿宋_GB2312"/>
                <w:color w:val="auto"/>
                <w:sz w:val="24"/>
              </w:rPr>
              <w:t>分部教学相关文件的及时准确程度（5分）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2.1.2 全面参与</w:t>
            </w:r>
            <w:r>
              <w:rPr>
                <w:rFonts w:hint="eastAsia" w:ascii="仿宋_GB2312" w:hAnsi="Times New Roman" w:eastAsia="仿宋_GB2312"/>
                <w:color w:val="auto"/>
                <w:sz w:val="24"/>
                <w:lang w:eastAsia="zh-CN"/>
              </w:rPr>
              <w:t>总部及</w:t>
            </w:r>
            <w:r>
              <w:rPr>
                <w:rFonts w:hint="eastAsia" w:ascii="仿宋_GB2312" w:hAnsi="Times New Roman" w:eastAsia="仿宋_GB2312"/>
                <w:color w:val="auto"/>
                <w:sz w:val="24"/>
              </w:rPr>
              <w:t>分部开展的相关教学工作（10分）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参与分部开展的相关教学工作的情况（10分）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2.2 统筹分部的系统办学及体系建设（70分）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 xml:space="preserve">2.2.1 </w:t>
            </w:r>
            <w:r>
              <w:rPr>
                <w:rFonts w:hint="eastAsia" w:ascii="仿宋_GB2312" w:hAnsi="Times New Roman" w:eastAsia="仿宋_GB2312"/>
                <w:color w:val="auto"/>
                <w:sz w:val="24"/>
                <w:lang w:eastAsia="zh-CN"/>
              </w:rPr>
              <w:t>分校</w:t>
            </w:r>
            <w:r>
              <w:rPr>
                <w:rFonts w:hint="eastAsia" w:ascii="仿宋_GB2312" w:hAnsi="Times New Roman" w:eastAsia="仿宋_GB2312"/>
                <w:color w:val="auto"/>
                <w:sz w:val="24"/>
              </w:rPr>
              <w:t>办学职责明晰，各级合作办学协议合法有效（10分）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w:t>
            </w:r>
            <w:r>
              <w:rPr>
                <w:rFonts w:hint="eastAsia" w:ascii="仿宋_GB2312" w:hAnsi="Times New Roman" w:eastAsia="仿宋_GB2312"/>
                <w:color w:val="auto"/>
                <w:sz w:val="24"/>
                <w:lang w:eastAsia="zh-CN"/>
              </w:rPr>
              <w:t>分校</w:t>
            </w:r>
            <w:r>
              <w:rPr>
                <w:rFonts w:hint="eastAsia" w:ascii="仿宋_GB2312" w:hAnsi="Times New Roman" w:eastAsia="仿宋_GB2312"/>
                <w:color w:val="auto"/>
                <w:sz w:val="24"/>
              </w:rPr>
              <w:t>对办学定位及职责的明确程度，体系责任分工的明晰程度（6分）</w:t>
            </w:r>
          </w:p>
          <w:p>
            <w:pPr>
              <w:rPr>
                <w:rFonts w:ascii="仿宋_GB2312" w:hAnsi="Times New Roman" w:eastAsia="仿宋_GB2312"/>
                <w:color w:val="auto"/>
                <w:sz w:val="24"/>
              </w:rPr>
            </w:pPr>
            <w:r>
              <w:rPr>
                <w:rFonts w:hint="eastAsia" w:ascii="仿宋_GB2312" w:hAnsi="Times New Roman" w:eastAsia="仿宋_GB2312"/>
                <w:color w:val="auto"/>
                <w:sz w:val="24"/>
              </w:rPr>
              <w:t>（2）各级合作办学协议完备、合法，条款清晰，职责明确（4分）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 xml:space="preserve">2.2.2 </w:t>
            </w:r>
            <w:r>
              <w:rPr>
                <w:rFonts w:hint="eastAsia" w:ascii="仿宋_GB2312" w:hAnsi="Times New Roman" w:eastAsia="仿宋_GB2312"/>
                <w:color w:val="auto"/>
                <w:sz w:val="24"/>
                <w:lang w:eastAsia="zh-CN"/>
              </w:rPr>
              <w:t>分校办学</w:t>
            </w:r>
            <w:r>
              <w:rPr>
                <w:rFonts w:hint="eastAsia" w:ascii="仿宋_GB2312" w:hAnsi="Times New Roman" w:eastAsia="仿宋_GB2312"/>
                <w:color w:val="auto"/>
                <w:sz w:val="24"/>
              </w:rPr>
              <w:t>布局、人员配备及职责分工与办学的规模、结构、质量要求相适应（25分）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w:t>
            </w:r>
            <w:r>
              <w:rPr>
                <w:rFonts w:hint="eastAsia" w:ascii="仿宋_GB2312" w:hAnsi="Times New Roman" w:eastAsia="仿宋_GB2312"/>
                <w:color w:val="auto"/>
                <w:sz w:val="24"/>
                <w:lang w:eastAsia="zh-CN"/>
              </w:rPr>
              <w:t>分校办学</w:t>
            </w:r>
            <w:r>
              <w:rPr>
                <w:rFonts w:hint="eastAsia" w:ascii="仿宋_GB2312" w:hAnsi="Times New Roman" w:eastAsia="仿宋_GB2312"/>
                <w:color w:val="auto"/>
                <w:sz w:val="24"/>
              </w:rPr>
              <w:t>布局、工作职责分配的科学合理程度及落实情况（14分）</w:t>
            </w:r>
          </w:p>
          <w:p>
            <w:pPr>
              <w:rPr>
                <w:rFonts w:ascii="仿宋_GB2312" w:hAnsi="Times New Roman" w:eastAsia="仿宋_GB2312"/>
                <w:color w:val="auto"/>
                <w:sz w:val="24"/>
              </w:rPr>
            </w:pPr>
            <w:r>
              <w:rPr>
                <w:rFonts w:hint="eastAsia" w:ascii="仿宋_GB2312" w:hAnsi="Times New Roman" w:eastAsia="仿宋_GB2312"/>
                <w:color w:val="auto"/>
                <w:sz w:val="24"/>
              </w:rPr>
              <w:t>（2）</w:t>
            </w:r>
            <w:r>
              <w:rPr>
                <w:rFonts w:hint="eastAsia" w:ascii="仿宋_GB2312" w:hAnsi="Times New Roman" w:eastAsia="仿宋_GB2312"/>
                <w:color w:val="auto"/>
                <w:sz w:val="24"/>
                <w:lang w:eastAsia="zh-CN"/>
              </w:rPr>
              <w:t>分校</w:t>
            </w:r>
            <w:r>
              <w:rPr>
                <w:rFonts w:hint="eastAsia" w:ascii="仿宋_GB2312" w:hAnsi="Times New Roman" w:eastAsia="仿宋_GB2312"/>
                <w:color w:val="auto"/>
                <w:sz w:val="24"/>
              </w:rPr>
              <w:t>与办学质量要求相适应的人员配备情况和责任落实情况（7分）</w:t>
            </w:r>
          </w:p>
          <w:p>
            <w:pPr>
              <w:rPr>
                <w:rFonts w:ascii="仿宋_GB2312" w:hAnsi="Times New Roman" w:eastAsia="仿宋_GB2312"/>
                <w:color w:val="auto"/>
                <w:sz w:val="24"/>
              </w:rPr>
            </w:pPr>
            <w:r>
              <w:rPr>
                <w:rFonts w:hint="eastAsia" w:ascii="仿宋_GB2312" w:hAnsi="Times New Roman" w:eastAsia="仿宋_GB2312"/>
                <w:color w:val="auto"/>
                <w:sz w:val="24"/>
              </w:rPr>
              <w:t>（3）办学的规模、结构、质量相适应的情况（4分）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2.2.3 分部对分校进行有效业务指导，对教学相关工作有任务要求、有数据考核（20分）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（1）分部对分校的业务开展进行有效指导的情况（10分）</w:t>
            </w:r>
          </w:p>
          <w:p>
            <w:pPr>
              <w:rPr>
                <w:rFonts w:ascii="仿宋_GB2312" w:hAnsi="Times New Roman" w:eastAsia="仿宋_GB2312"/>
                <w:color w:val="auto"/>
                <w:sz w:val="24"/>
              </w:rPr>
            </w:pPr>
            <w:r>
              <w:rPr>
                <w:rFonts w:hint="eastAsia" w:ascii="仿宋_GB2312" w:hAnsi="Times New Roman" w:eastAsia="仿宋_GB2312"/>
                <w:color w:val="auto"/>
                <w:sz w:val="24"/>
              </w:rPr>
              <w:t>（2）分部对分校的教学相关工作明确任务要求、考核指标的情况（10分）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2.2.4 在分部允许的区域范围内规范办学(15分)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（1）分校系统各办学单位办学与分部允许的区域范围相符的情况（7分）</w:t>
            </w:r>
          </w:p>
          <w:p>
            <w:pPr>
              <w:rPr>
                <w:rFonts w:ascii="仿宋_GB2312" w:hAnsi="Times New Roman" w:eastAsia="仿宋_GB2312"/>
                <w:color w:val="auto"/>
                <w:sz w:val="24"/>
              </w:rPr>
            </w:pPr>
            <w:r>
              <w:rPr>
                <w:rFonts w:hint="eastAsia" w:ascii="仿宋_GB2312" w:hAnsi="Times New Roman" w:eastAsia="仿宋_GB2312"/>
                <w:color w:val="auto"/>
                <w:sz w:val="24"/>
              </w:rPr>
              <w:t>（2）分校系统各办学单位的办学行为规范程度（8分）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王本陈</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2.3 及时缴费、规范收费（30分）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2.3.1 按照协议及时足额向分部缴纳各项费用，无拖欠学费（20分）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分校无欠费，按照协议及时足额向分部缴纳各项费用（20分）；</w:t>
            </w:r>
            <w:r>
              <w:rPr>
                <w:rFonts w:ascii="仿宋_GB2312" w:hAnsi="Times New Roman" w:eastAsia="仿宋_GB2312"/>
                <w:color w:val="auto"/>
                <w:sz w:val="24"/>
              </w:rPr>
              <w:t xml:space="preserve"> </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广  涛</w:t>
            </w:r>
          </w:p>
          <w:p>
            <w:pPr>
              <w:jc w:val="center"/>
              <w:rPr>
                <w:rFonts w:ascii="仿宋_GB2312" w:hAnsi="Times New Roman" w:eastAsia="仿宋_GB2312"/>
                <w:sz w:val="24"/>
              </w:rPr>
            </w:pPr>
            <w:r>
              <w:rPr>
                <w:rFonts w:hint="eastAsia" w:ascii="仿宋_GB2312" w:hAnsi="Times New Roman" w:eastAsia="仿宋_GB2312"/>
                <w:sz w:val="24"/>
              </w:rPr>
              <w:t>总务处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2.3.2 严格执行国家有关部门的收费规定和标准，无违规收费（10分）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严格执行国家及地方有关部门的收费规定和标准（10分）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广  涛</w:t>
            </w:r>
          </w:p>
          <w:p>
            <w:pPr>
              <w:ind w:firstLine="720" w:firstLineChars="300"/>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总务处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3.条件保障（290分）</w:t>
            </w: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3.1岗位、人员与运行（25分）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3.1.1 分校对接分部开放教育办学业务的部门、岗位、人员责权明晰、分工合理，教学教务管理职能相对独立、完整，落实到位（15分）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（1）分校对接分部开放教育办学业务的部门、岗位、人员责权明晰、分工合理的情况（10分）</w:t>
            </w:r>
          </w:p>
          <w:p>
            <w:pPr>
              <w:rPr>
                <w:rFonts w:ascii="仿宋_GB2312" w:hAnsi="Times New Roman" w:eastAsia="仿宋_GB2312"/>
                <w:color w:val="auto"/>
                <w:sz w:val="24"/>
              </w:rPr>
            </w:pPr>
            <w:r>
              <w:rPr>
                <w:rFonts w:hint="eastAsia" w:ascii="仿宋_GB2312" w:hAnsi="Times New Roman" w:eastAsia="仿宋_GB2312"/>
                <w:color w:val="auto"/>
                <w:sz w:val="24"/>
              </w:rPr>
              <w:t>（2）教学教务管理职能相对独立、完整，落实到位的情况（5分）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3.1.2 分校的招生、教学管理、教务管理、学生管理、考试等工作有明确人员分工负责（10分）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分校的招生、教学管理、教务管理、学生管理、考试等工作有明确人员分工负责（10分）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3.2 师资等人员配备（50分）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3.2.1生师比合理（30分）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以在编在岗教师计算，生师比&lt;=50:1（30分）；</w:t>
            </w:r>
          </w:p>
          <w:p>
            <w:pPr>
              <w:rPr>
                <w:rFonts w:ascii="仿宋_GB2312" w:hAnsi="Times New Roman" w:eastAsia="仿宋_GB2312"/>
                <w:color w:val="auto"/>
                <w:sz w:val="24"/>
              </w:rPr>
            </w:pPr>
            <w:r>
              <w:rPr>
                <w:rFonts w:hint="eastAsia" w:ascii="仿宋_GB2312" w:hAnsi="Times New Roman" w:eastAsia="仿宋_GB2312"/>
                <w:color w:val="auto"/>
                <w:sz w:val="24"/>
              </w:rPr>
              <w:t>以在编在岗教师计算，50:1&lt;生师比&lt;=100:1（24-29分）；</w:t>
            </w:r>
          </w:p>
          <w:p>
            <w:pPr>
              <w:rPr>
                <w:rFonts w:ascii="仿宋_GB2312" w:hAnsi="Times New Roman" w:eastAsia="仿宋_GB2312"/>
                <w:color w:val="auto"/>
                <w:sz w:val="24"/>
              </w:rPr>
            </w:pPr>
            <w:r>
              <w:rPr>
                <w:rFonts w:hint="eastAsia" w:ascii="仿宋_GB2312" w:hAnsi="Times New Roman" w:eastAsia="仿宋_GB2312"/>
                <w:color w:val="auto"/>
                <w:sz w:val="24"/>
              </w:rPr>
              <w:t>以专兼职教师计算，生师比&lt;=50:1（19-23分）；</w:t>
            </w:r>
          </w:p>
          <w:p>
            <w:pPr>
              <w:rPr>
                <w:rFonts w:ascii="仿宋_GB2312" w:hAnsi="Times New Roman" w:eastAsia="仿宋_GB2312"/>
                <w:color w:val="auto"/>
                <w:sz w:val="24"/>
              </w:rPr>
            </w:pPr>
            <w:r>
              <w:rPr>
                <w:rFonts w:hint="eastAsia" w:ascii="仿宋_GB2312" w:hAnsi="Times New Roman" w:eastAsia="仿宋_GB2312"/>
                <w:color w:val="auto"/>
                <w:sz w:val="24"/>
              </w:rPr>
              <w:t>以专兼职教师计算，50:1&lt;生师比&lt;=100:1（11-18分）;</w:t>
            </w:r>
          </w:p>
          <w:p>
            <w:pPr>
              <w:rPr>
                <w:rFonts w:ascii="仿宋_GB2312" w:hAnsi="Times New Roman" w:eastAsia="仿宋_GB2312"/>
                <w:color w:val="auto"/>
                <w:sz w:val="24"/>
              </w:rPr>
            </w:pPr>
            <w:r>
              <w:rPr>
                <w:rFonts w:hint="eastAsia" w:ascii="仿宋_GB2312" w:hAnsi="Times New Roman" w:eastAsia="仿宋_GB2312"/>
                <w:color w:val="auto"/>
                <w:sz w:val="24"/>
              </w:rPr>
              <w:t>以专兼职教师计算，生师比&gt;100:1(0-10分)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3.2.2 专兼职教师队伍的学历、职称、年龄结构合理（20分）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研究生以上学历50%以上、高级职称30%以上、中青年教师60%以上（20分）;单项达不到上述标准的酌情减分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highlight w:val="lightGray"/>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3.3 开放教育教学经费投入（45分）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3.3.1 教学投入占学费收入的比例高（25分）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评估近三年情况及趋势，按“总决算-投入企业-还款-基建≈教学投入”计算。70%及以上（21-25分）；55%-69%（11-20分）；40%-54%（1-10分）；不足40%（0分）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广  涛</w:t>
            </w:r>
          </w:p>
          <w:p>
            <w:pPr>
              <w:ind w:firstLine="720" w:firstLineChars="300"/>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总务处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3.3.2</w:t>
            </w:r>
            <w:r>
              <w:rPr>
                <w:rFonts w:hint="eastAsia" w:ascii="仿宋_GB2312" w:hAnsi="Times New Roman" w:eastAsia="仿宋_GB2312"/>
                <w:color w:val="auto"/>
                <w:sz w:val="24"/>
                <w:lang w:eastAsia="zh-CN"/>
              </w:rPr>
              <w:t>资源建设、</w:t>
            </w:r>
            <w:r>
              <w:rPr>
                <w:rFonts w:hint="eastAsia" w:ascii="仿宋_GB2312" w:hAnsi="Times New Roman" w:eastAsia="仿宋_GB2312"/>
                <w:color w:val="auto"/>
                <w:sz w:val="24"/>
              </w:rPr>
              <w:t>信息化软硬件建设、师资培训和实践教学投入占同期教学投入的比例高（20分）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评估近三年情况及趋势，计算口径同上。60%及以上（16-20分）；40%-59%（6-15分）；20%-39%（1-5分）；不足20%（0分）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广  涛</w:t>
            </w:r>
          </w:p>
          <w:p>
            <w:pPr>
              <w:ind w:firstLine="720" w:firstLineChars="300"/>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总务处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3.4 办学设施及信息化办学条件（50分）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3.4.1 配备与办学规模相适应、基本满足开放大学办学的教室（包括实时联网可远程双向交互的教室、可用于日常教学与考试的教室与计算机教室等）、保密室、档案室、办公场所、录播室等（20分）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配备与办学规模相适应、基本满足开放大学办学的教室（包括实时联网可远程双向交互的教室、可用于日常教学与考试的教室与计算机教室等）、保密室、档案室、办公场所、录播室等的情况，自有办学场所不应低于60%（20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黄茂成</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资源中心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3.4.2 办学环境中的信息化设备充足、适用，使用率高（15分）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（1）服务器数量、网络出口带宽、存储容量、校园网络、计算机等满足办学要求的情况（8分）</w:t>
            </w:r>
          </w:p>
          <w:p>
            <w:pPr>
              <w:rPr>
                <w:rFonts w:ascii="仿宋_GB2312" w:hAnsi="Times New Roman" w:eastAsia="仿宋_GB2312"/>
                <w:color w:val="auto"/>
                <w:sz w:val="24"/>
              </w:rPr>
            </w:pPr>
            <w:r>
              <w:rPr>
                <w:rFonts w:hint="eastAsia" w:ascii="仿宋_GB2312" w:hAnsi="Times New Roman" w:eastAsia="仿宋_GB2312"/>
                <w:color w:val="auto"/>
                <w:sz w:val="24"/>
              </w:rPr>
              <w:t>（2）使用率（7分）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黄茂成</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资源中心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3.4.3 教学信息化平台和工具满足招生专业教学需要（15分）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包括国开课程平台、实训平台、适应云直播等教学工作的教学软件和教学管理软件等满足招生专业教学需要的情况（15分）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3.5 制度建设（15分）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3.5.1 招生、教学、学习资源建设、形成性考核、终结性考试、学籍、质量管理、学习支持服务、教学团队等方面制度文件齐全有效（8分）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招生、教学、学习资源建设、形成性考核、终结性考试、学籍、质量管理、学习支持服务、教学团队等方面制度文件齐全有效的情况（8分）；有缺失的酌情减分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3.5.2 制度文件的更新、补充、完善及时（7分）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制度文件的更新、补充、完善情况（7分）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vAlign w:val="center"/>
          </w:tcPr>
          <w:p>
            <w:pPr>
              <w:rPr>
                <w:rFonts w:ascii="仿宋_GB2312" w:hAnsi="Times New Roman" w:eastAsia="仿宋_GB2312"/>
                <w:color w:val="auto"/>
                <w:sz w:val="24"/>
              </w:rPr>
            </w:pPr>
            <w:r>
              <w:rPr>
                <w:rFonts w:hint="eastAsia" w:ascii="仿宋_GB2312" w:hAnsi="Times New Roman" w:eastAsia="仿宋_GB2312"/>
                <w:color w:val="auto"/>
                <w:sz w:val="24"/>
              </w:rPr>
              <w:t>3.6 学科专业建设（20分）</w:t>
            </w:r>
          </w:p>
        </w:tc>
        <w:tc>
          <w:tcPr>
            <w:tcW w:w="1083" w:type="pct"/>
            <w:shd w:val="clear" w:color="auto" w:fill="auto"/>
            <w:vAlign w:val="center"/>
          </w:tcPr>
          <w:p>
            <w:pPr>
              <w:snapToGrid w:val="0"/>
              <w:rPr>
                <w:rFonts w:ascii="仿宋_GB2312" w:hAnsi="Times New Roman" w:eastAsia="仿宋_GB2312"/>
                <w:color w:val="auto"/>
                <w:sz w:val="24"/>
              </w:rPr>
            </w:pPr>
            <w:r>
              <w:rPr>
                <w:rFonts w:hint="eastAsia" w:ascii="仿宋_GB2312" w:hAnsi="Times New Roman" w:eastAsia="仿宋_GB2312"/>
                <w:color w:val="auto"/>
                <w:sz w:val="24"/>
              </w:rPr>
              <w:t>3.6.1有教学研究、科研成果（10分）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教学研究、科研成果情况（10分）</w:t>
            </w:r>
          </w:p>
          <w:p>
            <w:pPr>
              <w:rPr>
                <w:rFonts w:ascii="仿宋_GB2312" w:hAnsi="Times New Roman" w:eastAsia="仿宋_GB2312"/>
                <w:color w:val="auto"/>
                <w:sz w:val="24"/>
              </w:rPr>
            </w:pP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刘宜东</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远研室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3.6.2 落实指导性人才培养方案，配套实施性教学计划，且体现地方特色（10分）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（1）落实指导性人才培养方案，配套实施性教学计划情况（7分）</w:t>
            </w:r>
          </w:p>
          <w:p>
            <w:pPr>
              <w:rPr>
                <w:rFonts w:ascii="仿宋_GB2312" w:hAnsi="Times New Roman" w:eastAsia="仿宋_GB2312"/>
                <w:color w:val="auto"/>
                <w:sz w:val="24"/>
              </w:rPr>
            </w:pPr>
            <w:r>
              <w:rPr>
                <w:rFonts w:hint="eastAsia" w:ascii="仿宋_GB2312" w:hAnsi="Times New Roman" w:eastAsia="仿宋_GB2312"/>
                <w:color w:val="auto"/>
                <w:sz w:val="24"/>
              </w:rPr>
              <w:t>（2）实施性教学计划体现地方特色的情况（3分）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highlight w:val="lightGray"/>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3.7 学习资源配置（65分）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3.7.1 统设课程文字主教材配置率高（30分）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70%及以上（26-30分）；50%-69%（11-25分）；40%-49%（1-10分）；不足40%（0分）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王本陈</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3.7.2 负责的专业选修课资源建设应用效果好（25分）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负责的专业选修课资源建设应用效果好（25分）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3.7.3 分校配备满足本地教学需求的纸质书刊和电子资源，配套服务与保障机制健全，生均图书（含电子资料）100册以上(10分)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分校配备满足本地教学需求的纸质书刊和电子资源，配套服务与保障机制健全，生均图书（含电子资料）100册以上(10分)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王本陈</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3.8 人员培训（20分）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3.8.1 按要求参加</w:t>
            </w:r>
            <w:r>
              <w:rPr>
                <w:rFonts w:hint="eastAsia" w:ascii="仿宋_GB2312" w:hAnsi="Times New Roman" w:eastAsia="仿宋_GB2312"/>
                <w:color w:val="auto"/>
                <w:sz w:val="24"/>
                <w:lang w:eastAsia="zh-CN"/>
              </w:rPr>
              <w:t>总部及</w:t>
            </w:r>
            <w:r>
              <w:rPr>
                <w:rFonts w:hint="eastAsia" w:ascii="仿宋_GB2312" w:hAnsi="Times New Roman" w:eastAsia="仿宋_GB2312"/>
                <w:color w:val="auto"/>
                <w:sz w:val="24"/>
              </w:rPr>
              <w:t>分部组织的各类培训（10分）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按要求参加</w:t>
            </w:r>
            <w:r>
              <w:rPr>
                <w:rFonts w:hint="eastAsia" w:ascii="仿宋_GB2312" w:hAnsi="Times New Roman" w:eastAsia="仿宋_GB2312"/>
                <w:color w:val="auto"/>
                <w:sz w:val="24"/>
                <w:lang w:eastAsia="zh-CN"/>
              </w:rPr>
              <w:t>总部及</w:t>
            </w:r>
            <w:r>
              <w:rPr>
                <w:rFonts w:hint="eastAsia" w:ascii="仿宋_GB2312" w:hAnsi="Times New Roman" w:eastAsia="仿宋_GB2312"/>
                <w:color w:val="auto"/>
                <w:sz w:val="24"/>
              </w:rPr>
              <w:t>分部组织的各类培训的情况（10分）</w:t>
            </w:r>
          </w:p>
        </w:tc>
        <w:tc>
          <w:tcPr>
            <w:tcW w:w="787" w:type="pct"/>
            <w:vMerge w:val="restar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3.8.2 定期组织开展分校系统内各类人员培训（10分）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定期组织开展分校系统内各类人员培训的情况（10分）</w:t>
            </w:r>
          </w:p>
        </w:tc>
        <w:tc>
          <w:tcPr>
            <w:tcW w:w="787" w:type="pct"/>
            <w:vMerge w:val="continue"/>
            <w:vAlign w:val="center"/>
          </w:tcPr>
          <w:p>
            <w:pPr>
              <w:jc w:val="center"/>
              <w:rPr>
                <w:rFonts w:ascii="仿宋_GB2312"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4" w:hRule="atLeast"/>
          <w:jc w:val="center"/>
        </w:trPr>
        <w:tc>
          <w:tcPr>
            <w:tcW w:w="456"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4.教学运行与效果（340分）</w:t>
            </w: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4.1 招生宣传与规范管理（40分）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4.1.1 按总部统一要求开展招生宣传，无虚假宣传、违规招生等问题（30分）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（1）招生单位的招生简章符合要求，以及违规承诺、虚假宣传的情况（25分）</w:t>
            </w:r>
          </w:p>
          <w:p>
            <w:pPr>
              <w:rPr>
                <w:rFonts w:ascii="仿宋_GB2312" w:hAnsi="Times New Roman" w:eastAsia="仿宋_GB2312"/>
                <w:color w:val="auto"/>
                <w:sz w:val="24"/>
              </w:rPr>
            </w:pPr>
            <w:r>
              <w:rPr>
                <w:rFonts w:hint="eastAsia" w:ascii="仿宋_GB2312" w:hAnsi="Times New Roman" w:eastAsia="仿宋_GB2312"/>
                <w:color w:val="auto"/>
                <w:sz w:val="24"/>
              </w:rPr>
              <w:t>（2）分校没有学生关于招生宣传问题的信访投诉，或学生有投诉、分</w:t>
            </w:r>
            <w:r>
              <w:rPr>
                <w:rFonts w:hint="eastAsia" w:ascii="仿宋_GB2312" w:hAnsi="Times New Roman" w:eastAsia="仿宋_GB2312"/>
                <w:color w:val="auto"/>
                <w:sz w:val="24"/>
                <w:lang w:eastAsia="zh-CN"/>
              </w:rPr>
              <w:t>校</w:t>
            </w:r>
            <w:r>
              <w:rPr>
                <w:rFonts w:hint="eastAsia" w:ascii="仿宋_GB2312" w:hAnsi="Times New Roman" w:eastAsia="仿宋_GB2312"/>
                <w:color w:val="auto"/>
                <w:sz w:val="24"/>
              </w:rPr>
              <w:t>无过错（5分）</w:t>
            </w:r>
          </w:p>
          <w:p>
            <w:pPr>
              <w:rPr>
                <w:rFonts w:ascii="仿宋_GB2312" w:hAnsi="Times New Roman" w:eastAsia="仿宋_GB2312"/>
                <w:color w:val="auto"/>
                <w:sz w:val="24"/>
              </w:rPr>
            </w:pPr>
            <w:r>
              <w:rPr>
                <w:rFonts w:hint="eastAsia" w:ascii="仿宋_GB2312" w:hAnsi="Times New Roman" w:eastAsia="仿宋_GB2312"/>
                <w:color w:val="auto"/>
                <w:sz w:val="24"/>
              </w:rPr>
              <w:t>（3）近一年有严重违规</w:t>
            </w:r>
            <w:bookmarkStart w:id="0" w:name="_GoBack"/>
            <w:bookmarkEnd w:id="0"/>
            <w:r>
              <w:rPr>
                <w:rFonts w:hint="eastAsia" w:ascii="仿宋_GB2312" w:hAnsi="Times New Roman" w:eastAsia="仿宋_GB2312"/>
                <w:color w:val="auto"/>
                <w:sz w:val="24"/>
              </w:rPr>
              <w:t>招生问题（跨区域招生、委托中介招生等）本项不得分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陈蕾蕾</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招生办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4.1.2 按</w:t>
            </w:r>
            <w:r>
              <w:rPr>
                <w:rFonts w:hint="eastAsia" w:ascii="仿宋_GB2312" w:hAnsi="Times New Roman" w:eastAsia="仿宋_GB2312"/>
                <w:color w:val="auto"/>
                <w:sz w:val="24"/>
                <w:lang w:eastAsia="zh-CN"/>
              </w:rPr>
              <w:t>总部及</w:t>
            </w:r>
            <w:r>
              <w:rPr>
                <w:rFonts w:hint="eastAsia" w:ascii="仿宋_GB2312" w:hAnsi="Times New Roman" w:eastAsia="仿宋_GB2312"/>
                <w:color w:val="auto"/>
                <w:sz w:val="24"/>
              </w:rPr>
              <w:t>分部要求完成入学资格审核（10分）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（1）学生提交的报名材料符合规定情况（6分）</w:t>
            </w:r>
          </w:p>
          <w:p>
            <w:pPr>
              <w:rPr>
                <w:rFonts w:ascii="仿宋_GB2312" w:hAnsi="Times New Roman" w:eastAsia="仿宋_GB2312"/>
                <w:color w:val="auto"/>
                <w:sz w:val="24"/>
              </w:rPr>
            </w:pPr>
            <w:r>
              <w:rPr>
                <w:rFonts w:hint="eastAsia" w:ascii="仿宋_GB2312" w:hAnsi="Times New Roman" w:eastAsia="仿宋_GB2312"/>
                <w:color w:val="auto"/>
                <w:sz w:val="24"/>
              </w:rPr>
              <w:t>（2）入学资格审核手续齐全、及时的情况（4分）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陈蕾蕾</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招生办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4.2 线上线下教学的组织管理与实施效果（70分）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4.2.1 分校系统在教学组织与运行过程中履职尽责；分校有督查分校办学系统各办学单位开展面授、落实网上教学的情况（30分）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（1）分校系统在教学组织与运行过程中履职尽责情况（15分）</w:t>
            </w:r>
          </w:p>
          <w:p>
            <w:pPr>
              <w:rPr>
                <w:rFonts w:ascii="仿宋_GB2312" w:hAnsi="Times New Roman" w:eastAsia="仿宋_GB2312"/>
                <w:color w:val="auto"/>
                <w:sz w:val="24"/>
              </w:rPr>
            </w:pPr>
            <w:r>
              <w:rPr>
                <w:rFonts w:hint="eastAsia" w:ascii="仿宋_GB2312" w:hAnsi="Times New Roman" w:eastAsia="仿宋_GB2312"/>
                <w:color w:val="auto"/>
                <w:sz w:val="24"/>
              </w:rPr>
              <w:t>（2）分校有督查分校办学系统各办学单位开展面授、落实网上教学的情况（15分）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4.2.2 有教学团队建设，能够以教学团队落实教学过程、开展教研活动、保证教学效果且有据可查。教学团队实施教学服务充分，积极参与团队工作（20分）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（1）分校对教学团队工作出台的管理办法（8分）</w:t>
            </w:r>
          </w:p>
          <w:p>
            <w:pPr>
              <w:rPr>
                <w:rFonts w:ascii="仿宋_GB2312" w:hAnsi="Times New Roman" w:eastAsia="仿宋_GB2312"/>
                <w:color w:val="auto"/>
                <w:sz w:val="24"/>
              </w:rPr>
            </w:pPr>
            <w:r>
              <w:rPr>
                <w:rFonts w:hint="eastAsia" w:ascii="仿宋_GB2312" w:hAnsi="Times New Roman" w:eastAsia="仿宋_GB2312"/>
                <w:color w:val="auto"/>
                <w:sz w:val="24"/>
              </w:rPr>
              <w:t>（2）分校参加分部教学实施团队的数量和比例（6分）</w:t>
            </w:r>
          </w:p>
          <w:p>
            <w:pPr>
              <w:rPr>
                <w:rFonts w:ascii="仿宋_GB2312" w:hAnsi="Times New Roman" w:eastAsia="仿宋_GB2312"/>
                <w:color w:val="auto"/>
                <w:sz w:val="24"/>
              </w:rPr>
            </w:pPr>
            <w:r>
              <w:rPr>
                <w:rFonts w:hint="eastAsia" w:ascii="仿宋_GB2312" w:hAnsi="Times New Roman" w:eastAsia="仿宋_GB2312"/>
                <w:color w:val="auto"/>
                <w:sz w:val="24"/>
              </w:rPr>
              <w:t>（3）参加总部核心教学团队工作情况（6分）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4.2.3 国开学习网上的教与学关键数据指标良好（20分）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（1）教师平均在线天数（4分）</w:t>
            </w:r>
          </w:p>
          <w:p>
            <w:pPr>
              <w:rPr>
                <w:rFonts w:ascii="仿宋_GB2312" w:hAnsi="Times New Roman" w:eastAsia="仿宋_GB2312"/>
                <w:color w:val="auto"/>
                <w:sz w:val="24"/>
              </w:rPr>
            </w:pPr>
            <w:r>
              <w:rPr>
                <w:rFonts w:hint="eastAsia" w:ascii="仿宋_GB2312" w:hAnsi="Times New Roman" w:eastAsia="仿宋_GB2312"/>
                <w:color w:val="auto"/>
                <w:sz w:val="24"/>
              </w:rPr>
              <w:t>（2）学生平均在线天数（4分）</w:t>
            </w:r>
          </w:p>
          <w:p>
            <w:pPr>
              <w:rPr>
                <w:rFonts w:ascii="仿宋_GB2312" w:hAnsi="Times New Roman" w:eastAsia="仿宋_GB2312"/>
                <w:color w:val="auto"/>
                <w:sz w:val="24"/>
              </w:rPr>
            </w:pPr>
            <w:r>
              <w:rPr>
                <w:rFonts w:hint="eastAsia" w:ascii="仿宋_GB2312" w:hAnsi="Times New Roman" w:eastAsia="仿宋_GB2312"/>
                <w:color w:val="auto"/>
                <w:sz w:val="24"/>
              </w:rPr>
              <w:t>（3）教师人均在线行为次数（4分）</w:t>
            </w:r>
          </w:p>
          <w:p>
            <w:pPr>
              <w:rPr>
                <w:rFonts w:ascii="仿宋_GB2312" w:hAnsi="Times New Roman" w:eastAsia="仿宋_GB2312"/>
                <w:color w:val="auto"/>
                <w:sz w:val="24"/>
              </w:rPr>
            </w:pPr>
            <w:r>
              <w:rPr>
                <w:rFonts w:hint="eastAsia" w:ascii="仿宋_GB2312" w:hAnsi="Times New Roman" w:eastAsia="仿宋_GB2312"/>
                <w:color w:val="auto"/>
                <w:sz w:val="24"/>
              </w:rPr>
              <w:t>（4）生均在线学习行为次数（4分）</w:t>
            </w:r>
          </w:p>
          <w:p>
            <w:pPr>
              <w:rPr>
                <w:rFonts w:ascii="仿宋_GB2312" w:hAnsi="Times New Roman" w:eastAsia="仿宋_GB2312"/>
                <w:color w:val="auto"/>
                <w:sz w:val="24"/>
              </w:rPr>
            </w:pPr>
            <w:r>
              <w:rPr>
                <w:rFonts w:hint="eastAsia" w:ascii="仿宋_GB2312" w:hAnsi="Times New Roman" w:eastAsia="仿宋_GB2312"/>
                <w:color w:val="auto"/>
                <w:sz w:val="24"/>
              </w:rPr>
              <w:t>（5）学生帖回复率（4分）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8"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4.3 实践教学（40分）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4.3.1 有实践教学基地和能够满足专业课程实践教学需要的虚拟仿真实训软件或线下实践环境，落实课程实践教学（20分）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（1）实践教学基地和满足专业课程实践教学需要的虚拟仿真实训软件或线下实践环境情况（10分）</w:t>
            </w:r>
          </w:p>
          <w:p>
            <w:pPr>
              <w:rPr>
                <w:rFonts w:ascii="仿宋_GB2312" w:hAnsi="Times New Roman" w:eastAsia="仿宋_GB2312"/>
                <w:color w:val="auto"/>
                <w:sz w:val="24"/>
              </w:rPr>
            </w:pPr>
            <w:r>
              <w:rPr>
                <w:rFonts w:hint="eastAsia" w:ascii="仿宋_GB2312" w:hAnsi="Times New Roman" w:eastAsia="仿宋_GB2312"/>
                <w:color w:val="auto"/>
                <w:sz w:val="24"/>
              </w:rPr>
              <w:t>（2）与合作方签订有效的实践教学协议，实践教学开展记录的情况（10分）</w:t>
            </w:r>
          </w:p>
        </w:tc>
        <w:tc>
          <w:tcPr>
            <w:tcW w:w="787" w:type="pct"/>
            <w:vAlign w:val="center"/>
          </w:tcPr>
          <w:p>
            <w:pPr>
              <w:ind w:firstLine="960" w:firstLineChars="400"/>
              <w:jc w:val="center"/>
              <w:rPr>
                <w:rFonts w:ascii="仿宋_GB2312" w:hAnsi="Times New Roman" w:eastAsia="仿宋_GB2312"/>
                <w:sz w:val="24"/>
              </w:rPr>
            </w:pPr>
          </w:p>
          <w:p>
            <w:pPr>
              <w:ind w:firstLine="960" w:firstLineChars="400"/>
              <w:jc w:val="center"/>
              <w:rPr>
                <w:rFonts w:ascii="仿宋_GB2312" w:hAnsi="Times New Roman" w:eastAsia="仿宋_GB2312"/>
                <w:sz w:val="24"/>
              </w:rPr>
            </w:pPr>
          </w:p>
          <w:p>
            <w:pPr>
              <w:ind w:firstLine="960" w:firstLineChars="400"/>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p>
            <w:pPr>
              <w:ind w:firstLine="960" w:firstLineChars="400"/>
              <w:jc w:val="center"/>
              <w:rPr>
                <w:rFonts w:ascii="仿宋_GB2312" w:hAnsi="Times New Roman" w:eastAsia="仿宋_GB2312"/>
                <w:sz w:val="24"/>
              </w:rPr>
            </w:pPr>
          </w:p>
          <w:p>
            <w:pPr>
              <w:ind w:firstLine="960" w:firstLineChars="400"/>
              <w:jc w:val="center"/>
              <w:rPr>
                <w:rFonts w:ascii="仿宋_GB2312" w:hAnsi="Times New Roman" w:eastAsia="仿宋_GB2312"/>
                <w:sz w:val="24"/>
              </w:rPr>
            </w:pPr>
          </w:p>
          <w:p>
            <w:pPr>
              <w:jc w:val="center"/>
              <w:rPr>
                <w:rFonts w:ascii="仿宋_GB2312"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4.3.2 毕业实践环节教师指导人数符合规定且指导充分。毕业答辩、审核过程规范、结果严谨（20分）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（1）有每学期指导教师名单和学生名单，指导人数符合规定（4分）</w:t>
            </w:r>
          </w:p>
          <w:p>
            <w:pPr>
              <w:rPr>
                <w:rFonts w:ascii="仿宋_GB2312" w:hAnsi="Times New Roman" w:eastAsia="仿宋_GB2312"/>
                <w:color w:val="auto"/>
                <w:sz w:val="24"/>
              </w:rPr>
            </w:pPr>
            <w:r>
              <w:rPr>
                <w:rFonts w:hint="eastAsia" w:ascii="仿宋_GB2312" w:hAnsi="Times New Roman" w:eastAsia="仿宋_GB2312"/>
                <w:color w:val="auto"/>
                <w:sz w:val="24"/>
              </w:rPr>
              <w:t>（2）论文指导正确到位的情况（8分）</w:t>
            </w:r>
          </w:p>
          <w:p>
            <w:pPr>
              <w:rPr>
                <w:rFonts w:ascii="仿宋_GB2312" w:hAnsi="Times New Roman" w:eastAsia="仿宋_GB2312"/>
                <w:color w:val="auto"/>
                <w:sz w:val="24"/>
              </w:rPr>
            </w:pPr>
            <w:r>
              <w:rPr>
                <w:rFonts w:hint="eastAsia" w:ascii="仿宋_GB2312" w:hAnsi="Times New Roman" w:eastAsia="仿宋_GB2312"/>
                <w:color w:val="auto"/>
                <w:sz w:val="24"/>
              </w:rPr>
              <w:t>（3）毕业答辩和审核管理规范的情况（8分）</w:t>
            </w:r>
          </w:p>
        </w:tc>
        <w:tc>
          <w:tcPr>
            <w:tcW w:w="787" w:type="pct"/>
            <w:vAlign w:val="center"/>
          </w:tcPr>
          <w:p>
            <w:pPr>
              <w:ind w:firstLine="960" w:firstLineChars="400"/>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6"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4.4 师德、思政与学生活动（20分）</w:t>
            </w:r>
          </w:p>
        </w:tc>
        <w:tc>
          <w:tcPr>
            <w:tcW w:w="1083" w:type="pct"/>
            <w:shd w:val="clear" w:color="auto" w:fill="auto"/>
            <w:vAlign w:val="center"/>
          </w:tcPr>
          <w:p>
            <w:pPr>
              <w:rPr>
                <w:rFonts w:ascii="仿宋_GB2312" w:hAnsi="Times New Roman" w:eastAsia="仿宋_GB2312"/>
                <w:strike/>
                <w:color w:val="auto"/>
                <w:sz w:val="24"/>
              </w:rPr>
            </w:pPr>
            <w:r>
              <w:rPr>
                <w:rFonts w:hint="eastAsia" w:ascii="仿宋_GB2312" w:hAnsi="Times New Roman" w:eastAsia="仿宋_GB2312"/>
                <w:color w:val="auto"/>
                <w:sz w:val="24"/>
              </w:rPr>
              <w:t>4.4.1师德师风建设情况和落实总部教师行为规范情况；思政课程教学、研究、培训，落实推进课程思政开展情况及效果（10分）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（1）师德师风建设情况和落实总部教师行为规范情况（5分）</w:t>
            </w:r>
          </w:p>
          <w:p>
            <w:pPr>
              <w:rPr>
                <w:rFonts w:ascii="仿宋_GB2312" w:hAnsi="Times New Roman" w:eastAsia="仿宋_GB2312"/>
                <w:color w:val="auto"/>
                <w:sz w:val="24"/>
              </w:rPr>
            </w:pPr>
            <w:r>
              <w:rPr>
                <w:rFonts w:hint="eastAsia" w:ascii="仿宋_GB2312" w:hAnsi="Times New Roman" w:eastAsia="仿宋_GB2312"/>
                <w:color w:val="auto"/>
                <w:sz w:val="24"/>
              </w:rPr>
              <w:t>（2）思政课程教学、研究、培训，落实推进课程思政开展情况及效果（5分）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4.4.2 学生思想政治教育，立德树人教育活动开展情况及效果（10分）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学生思政教育、立德树人教育活动的记录和效果（10分）</w:t>
            </w:r>
          </w:p>
          <w:p>
            <w:pPr>
              <w:rPr>
                <w:rFonts w:ascii="仿宋_GB2312" w:hAnsi="Times New Roman" w:eastAsia="仿宋_GB2312"/>
                <w:color w:val="auto"/>
                <w:sz w:val="24"/>
              </w:rPr>
            </w:pP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4.5形成性考核和终结性考试的组织、实施、评阅和成绩管理（90分）</w:t>
            </w:r>
          </w:p>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4.5.1认真执行形成性考核的规定和要求，评阅和成绩管理严格，存档规范（15分）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（1）纸质形考作业评阅过程中教师签名、打分的情况，在作业评阅中体现教学反馈情况（7分）</w:t>
            </w:r>
          </w:p>
          <w:p>
            <w:pPr>
              <w:rPr>
                <w:rFonts w:ascii="仿宋_GB2312" w:hAnsi="Times New Roman" w:eastAsia="仿宋_GB2312"/>
                <w:color w:val="auto"/>
                <w:sz w:val="24"/>
              </w:rPr>
            </w:pPr>
            <w:r>
              <w:rPr>
                <w:rFonts w:hint="eastAsia" w:ascii="仿宋_GB2312" w:hAnsi="Times New Roman" w:eastAsia="仿宋_GB2312"/>
                <w:color w:val="auto"/>
                <w:sz w:val="24"/>
              </w:rPr>
              <w:t>（2）网上形考作业提交及时，批改及时，登分无差错（6分）</w:t>
            </w:r>
          </w:p>
          <w:p>
            <w:pPr>
              <w:rPr>
                <w:rFonts w:ascii="仿宋_GB2312" w:hAnsi="Times New Roman" w:eastAsia="仿宋_GB2312"/>
                <w:color w:val="auto"/>
                <w:sz w:val="24"/>
              </w:rPr>
            </w:pPr>
            <w:r>
              <w:rPr>
                <w:rFonts w:hint="eastAsia" w:ascii="仿宋_GB2312" w:hAnsi="Times New Roman" w:eastAsia="仿宋_GB2312"/>
                <w:color w:val="auto"/>
                <w:sz w:val="24"/>
              </w:rPr>
              <w:t>（3）存档规范（2分）</w:t>
            </w:r>
          </w:p>
          <w:p>
            <w:pPr>
              <w:rPr>
                <w:rFonts w:ascii="仿宋_GB2312" w:hAnsi="Times New Roman" w:eastAsia="仿宋_GB2312"/>
                <w:color w:val="auto"/>
                <w:sz w:val="24"/>
              </w:rPr>
            </w:pPr>
            <w:r>
              <w:rPr>
                <w:rFonts w:hint="eastAsia" w:ascii="仿宋_GB2312" w:hAnsi="Times New Roman" w:eastAsia="仿宋_GB2312"/>
                <w:color w:val="auto"/>
                <w:sz w:val="24"/>
              </w:rPr>
              <w:t>（4）存档缺失严重的，此项得分不得超过5分。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4.5.2有定期检查形成性考核完成情况和评阅质量的机制（20分）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定期检查形成性考核完成情况和评阅质量的机制情况（20分）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4.5.3 严格落实国家开放大学关于终结性考试的各项要求；考试组织与管理规范，认真组织考务人员业务培训，有效组织蹲考、巡考工作；有效落实学生诚信教育；严管考风考纪，对违纪学生及时处理、通报曝光（35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（1）落实总部终结性考试文件要求，及时下发并有效落实情况（5分）</w:t>
            </w:r>
          </w:p>
          <w:p>
            <w:pPr>
              <w:rPr>
                <w:rFonts w:ascii="仿宋_GB2312" w:hAnsi="Times New Roman" w:eastAsia="仿宋_GB2312"/>
                <w:color w:val="auto"/>
                <w:sz w:val="24"/>
              </w:rPr>
            </w:pPr>
            <w:r>
              <w:rPr>
                <w:rFonts w:hint="eastAsia" w:ascii="仿宋_GB2312" w:hAnsi="Times New Roman" w:eastAsia="仿宋_GB2312"/>
                <w:color w:val="auto"/>
                <w:sz w:val="24"/>
              </w:rPr>
              <w:t>（2）组织考试工作人员（含主考、巡考人员、监考人员）业务培训和考核，落实考试工作人员持证上岗要求情况（10分）</w:t>
            </w:r>
          </w:p>
          <w:p>
            <w:pPr>
              <w:rPr>
                <w:rFonts w:ascii="仿宋_GB2312" w:hAnsi="Times New Roman" w:eastAsia="仿宋_GB2312"/>
                <w:color w:val="auto"/>
                <w:sz w:val="24"/>
              </w:rPr>
            </w:pPr>
            <w:r>
              <w:rPr>
                <w:rFonts w:hint="eastAsia" w:ascii="仿宋_GB2312" w:hAnsi="Times New Roman" w:eastAsia="仿宋_GB2312"/>
                <w:color w:val="auto"/>
                <w:sz w:val="24"/>
              </w:rPr>
              <w:t>（3）有效组织蹲考、巡考工作情况（8分）</w:t>
            </w:r>
          </w:p>
          <w:p>
            <w:pPr>
              <w:rPr>
                <w:rFonts w:ascii="仿宋_GB2312" w:hAnsi="Times New Roman" w:eastAsia="仿宋_GB2312"/>
                <w:color w:val="auto"/>
                <w:sz w:val="24"/>
              </w:rPr>
            </w:pPr>
            <w:r>
              <w:rPr>
                <w:rFonts w:hint="eastAsia" w:ascii="仿宋_GB2312" w:hAnsi="Times New Roman" w:eastAsia="仿宋_GB2312"/>
                <w:color w:val="auto"/>
                <w:sz w:val="24"/>
              </w:rPr>
              <w:t>（4）有效落实学生诚信教育情况（5分）</w:t>
            </w:r>
          </w:p>
          <w:p>
            <w:pPr>
              <w:rPr>
                <w:rFonts w:ascii="仿宋_GB2312" w:hAnsi="Times New Roman" w:eastAsia="仿宋_GB2312"/>
                <w:color w:val="auto"/>
                <w:sz w:val="24"/>
              </w:rPr>
            </w:pPr>
            <w:r>
              <w:rPr>
                <w:rFonts w:hint="eastAsia" w:ascii="仿宋_GB2312" w:hAnsi="Times New Roman" w:eastAsia="仿宋_GB2312"/>
                <w:color w:val="auto"/>
                <w:sz w:val="24"/>
              </w:rPr>
              <w:t>（5）及时严肃处理违规事件、通报曝光（7分）</w:t>
            </w:r>
          </w:p>
          <w:p>
            <w:pPr>
              <w:rPr>
                <w:rFonts w:ascii="仿宋_GB2312" w:hAnsi="Times New Roman" w:eastAsia="仿宋_GB2312"/>
                <w:color w:val="auto"/>
                <w:sz w:val="24"/>
              </w:rPr>
            </w:pPr>
            <w:r>
              <w:rPr>
                <w:rFonts w:hint="eastAsia" w:ascii="仿宋_GB2312" w:hAnsi="Times New Roman" w:eastAsia="仿宋_GB2312"/>
                <w:color w:val="auto"/>
                <w:sz w:val="24"/>
              </w:rPr>
              <w:t>（6）近一年存在严重考试违规行为，或者考试组织造成不良社会影响的本项不得分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王本陈</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4.5.4 终结性考试试卷接收、入库、分发、评阅、成绩登录及管理等环节组织严密，管理严格规范（20分）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（1）试卷接收、入库、分发、评阅等环节规范有序可查，严格落实抽检的情况（7分）</w:t>
            </w:r>
          </w:p>
          <w:p>
            <w:pPr>
              <w:rPr>
                <w:rFonts w:ascii="仿宋_GB2312" w:hAnsi="Times New Roman" w:eastAsia="仿宋_GB2312"/>
                <w:color w:val="auto"/>
                <w:sz w:val="24"/>
              </w:rPr>
            </w:pPr>
            <w:r>
              <w:rPr>
                <w:rFonts w:hint="eastAsia" w:ascii="仿宋_GB2312" w:hAnsi="Times New Roman" w:eastAsia="仿宋_GB2312"/>
                <w:color w:val="auto"/>
                <w:sz w:val="24"/>
              </w:rPr>
              <w:t>（2）成绩登录及管理等环节组织严密，管理严格规范的情况（7分）</w:t>
            </w:r>
          </w:p>
          <w:p>
            <w:pPr>
              <w:rPr>
                <w:rFonts w:ascii="仿宋_GB2312" w:hAnsi="Times New Roman" w:eastAsia="仿宋_GB2312"/>
                <w:color w:val="auto"/>
                <w:sz w:val="24"/>
              </w:rPr>
            </w:pPr>
            <w:r>
              <w:rPr>
                <w:rFonts w:hint="eastAsia" w:ascii="仿宋_GB2312" w:hAnsi="Times New Roman" w:eastAsia="仿宋_GB2312"/>
                <w:color w:val="auto"/>
                <w:sz w:val="24"/>
              </w:rPr>
              <w:t>（3）定期开展考试成绩分析并反馈教学环节的情况（6分）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王本陈</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4.6 学习支持服务和满意度（50分）</w:t>
            </w:r>
          </w:p>
        </w:tc>
        <w:tc>
          <w:tcPr>
            <w:tcW w:w="108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4.6.1 能及时解决学生学习过程中遇到的各种问题；由专人负责或有专门渠道及时提供学生咨询服务，处理及时，学生对处理结果满意度高（15分）</w:t>
            </w:r>
          </w:p>
        </w:tc>
        <w:tc>
          <w:tcPr>
            <w:tcW w:w="2210" w:type="pct"/>
            <w:vMerge w:val="restar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（1）学校对学生学习支持服务事务的响应速度情况（5分）</w:t>
            </w:r>
          </w:p>
          <w:p>
            <w:pPr>
              <w:rPr>
                <w:rFonts w:ascii="仿宋_GB2312" w:hAnsi="Times New Roman" w:eastAsia="仿宋_GB2312"/>
                <w:color w:val="auto"/>
                <w:sz w:val="24"/>
              </w:rPr>
            </w:pPr>
            <w:r>
              <w:rPr>
                <w:rFonts w:hint="eastAsia" w:ascii="仿宋_GB2312" w:hAnsi="Times New Roman" w:eastAsia="仿宋_GB2312"/>
                <w:color w:val="auto"/>
                <w:sz w:val="24"/>
              </w:rPr>
              <w:t>（2）由专人负责或有专门渠道及时提供学生咨询服务情况（3分）</w:t>
            </w:r>
          </w:p>
          <w:p>
            <w:pPr>
              <w:rPr>
                <w:rFonts w:ascii="仿宋_GB2312" w:hAnsi="Times New Roman" w:eastAsia="仿宋_GB2312"/>
                <w:color w:val="auto"/>
                <w:sz w:val="24"/>
              </w:rPr>
            </w:pPr>
            <w:r>
              <w:rPr>
                <w:rFonts w:hint="eastAsia" w:ascii="仿宋_GB2312" w:hAnsi="Times New Roman" w:eastAsia="仿宋_GB2312"/>
                <w:color w:val="auto"/>
                <w:sz w:val="24"/>
              </w:rPr>
              <w:t>（3）处理及时（4分）</w:t>
            </w:r>
          </w:p>
          <w:p>
            <w:pPr>
              <w:rPr>
                <w:rFonts w:ascii="仿宋_GB2312" w:hAnsi="Times New Roman" w:eastAsia="仿宋_GB2312"/>
                <w:color w:val="auto"/>
                <w:sz w:val="24"/>
              </w:rPr>
            </w:pPr>
            <w:r>
              <w:rPr>
                <w:rFonts w:hint="eastAsia" w:ascii="仿宋_GB2312" w:hAnsi="Times New Roman" w:eastAsia="仿宋_GB2312"/>
                <w:color w:val="auto"/>
                <w:sz w:val="24"/>
              </w:rPr>
              <w:t>（4）学生对处理结果的满意度（3分）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456" w:type="pct"/>
            <w:vMerge w:val="continue"/>
            <w:vAlign w:val="center"/>
          </w:tcPr>
          <w:p>
            <w:pPr>
              <w:ind w:firstLine="630" w:firstLineChars="300"/>
              <w:rPr>
                <w:color w:val="auto"/>
              </w:rPr>
            </w:pPr>
          </w:p>
        </w:tc>
        <w:tc>
          <w:tcPr>
            <w:tcW w:w="463" w:type="pct"/>
            <w:vMerge w:val="continue"/>
            <w:shd w:val="clear" w:color="auto" w:fill="auto"/>
            <w:vAlign w:val="center"/>
          </w:tcPr>
          <w:p>
            <w:pPr>
              <w:ind w:firstLine="630" w:firstLineChars="300"/>
              <w:rPr>
                <w:color w:val="auto"/>
              </w:rPr>
            </w:pPr>
          </w:p>
        </w:tc>
        <w:tc>
          <w:tcPr>
            <w:tcW w:w="1083" w:type="pct"/>
            <w:vMerge w:val="continue"/>
            <w:shd w:val="clear" w:color="auto" w:fill="auto"/>
            <w:vAlign w:val="center"/>
          </w:tcPr>
          <w:p>
            <w:pPr>
              <w:ind w:firstLine="630" w:firstLineChars="300"/>
              <w:rPr>
                <w:color w:val="auto"/>
              </w:rPr>
            </w:pPr>
          </w:p>
        </w:tc>
        <w:tc>
          <w:tcPr>
            <w:tcW w:w="2210" w:type="pct"/>
            <w:vMerge w:val="continue"/>
            <w:vAlign w:val="center"/>
          </w:tcPr>
          <w:p>
            <w:pPr>
              <w:ind w:firstLine="630" w:firstLineChars="300"/>
              <w:rPr>
                <w:color w:val="auto"/>
              </w:rPr>
            </w:pP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hint="eastAsia"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4.6.2 使用电话、网络、手机App、线下等多种方式向学生提供学术、非学术支持服务（15分）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（1）学校向学生提供学习支持服务的工具具有多样性，学生可以通过多种方式获取支持服务的情况（10分）</w:t>
            </w:r>
          </w:p>
          <w:p>
            <w:pPr>
              <w:rPr>
                <w:rFonts w:ascii="仿宋_GB2312" w:hAnsi="Times New Roman" w:eastAsia="仿宋_GB2312"/>
                <w:color w:val="auto"/>
                <w:sz w:val="24"/>
              </w:rPr>
            </w:pPr>
            <w:r>
              <w:rPr>
                <w:rFonts w:hint="eastAsia" w:ascii="仿宋_GB2312" w:hAnsi="Times New Roman" w:eastAsia="仿宋_GB2312"/>
                <w:color w:val="auto"/>
                <w:sz w:val="24"/>
              </w:rPr>
              <w:t>（2）学校向学生提供的支持服务的内容具有广泛性，覆盖学术和非学术两方面的情况（5分）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4.6.3 支持开展满意度调查，学生、毕业生对学校教学和服务等方面满意度高（20分）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很满意≥50%或满意≥90%（20分），其他情况如满意度调查完成率不足60%等酌情减分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4.7 学籍、毕业及学位管理（30分）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4.7.1 学籍管理流程规范，有与学生规模相适应的学籍管理人员，学生档案保存良好，关键环节落实到位（6分）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（1）学籍管理制度完整，流程执行规范（3分）</w:t>
            </w:r>
          </w:p>
          <w:p>
            <w:pPr>
              <w:rPr>
                <w:rFonts w:ascii="仿宋_GB2312" w:hAnsi="Times New Roman" w:eastAsia="仿宋_GB2312"/>
                <w:color w:val="auto"/>
                <w:sz w:val="24"/>
              </w:rPr>
            </w:pPr>
            <w:r>
              <w:rPr>
                <w:rFonts w:hint="eastAsia" w:ascii="仿宋_GB2312" w:hAnsi="Times New Roman" w:eastAsia="仿宋_GB2312"/>
                <w:color w:val="auto"/>
                <w:sz w:val="24"/>
              </w:rPr>
              <w:t>（2）学籍管理岗位人员与学生规模相适应（3分）</w:t>
            </w:r>
          </w:p>
        </w:tc>
        <w:tc>
          <w:tcPr>
            <w:tcW w:w="787" w:type="pct"/>
            <w:vMerge w:val="restart"/>
            <w:vAlign w:val="center"/>
          </w:tcPr>
          <w:p>
            <w:pPr>
              <w:jc w:val="both"/>
              <w:rPr>
                <w:rFonts w:ascii="仿宋_GB2312" w:hAnsi="Times New Roman" w:eastAsia="仿宋_GB2312"/>
                <w:sz w:val="24"/>
              </w:rPr>
            </w:pPr>
          </w:p>
          <w:p>
            <w:pPr>
              <w:pStyle w:val="2"/>
              <w:rPr>
                <w:rFonts w:ascii="仿宋_GB2312" w:hAnsi="Times New Roman" w:eastAsia="仿宋_GB2312"/>
                <w:sz w:val="24"/>
              </w:rPr>
            </w:pPr>
          </w:p>
          <w:p>
            <w:pPr>
              <w:rPr>
                <w:rFonts w:ascii="仿宋_GB2312" w:hAnsi="Times New Roman" w:eastAsia="仿宋_GB2312"/>
                <w:sz w:val="24"/>
              </w:rPr>
            </w:pPr>
          </w:p>
          <w:p>
            <w:pPr>
              <w:pStyle w:val="2"/>
            </w:pPr>
          </w:p>
          <w:p>
            <w:pPr>
              <w:jc w:val="center"/>
              <w:rPr>
                <w:rFonts w:ascii="仿宋_GB2312" w:hAnsi="Times New Roman" w:eastAsia="仿宋_GB2312"/>
                <w:sz w:val="24"/>
              </w:rPr>
            </w:pPr>
            <w:r>
              <w:rPr>
                <w:rFonts w:hint="eastAsia" w:ascii="仿宋_GB2312" w:hAnsi="Times New Roman" w:eastAsia="仿宋_GB2312"/>
                <w:sz w:val="24"/>
              </w:rPr>
              <w:t>王本陈</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教务处</w:t>
            </w:r>
          </w:p>
          <w:p>
            <w:pPr>
              <w:jc w:val="both"/>
              <w:rPr>
                <w:rFonts w:ascii="仿宋_GB2312" w:hAnsi="Times New Roman" w:eastAsia="仿宋_GB2312"/>
                <w:sz w:val="24"/>
              </w:rPr>
            </w:pPr>
          </w:p>
          <w:p>
            <w:pPr>
              <w:pStyle w:val="2"/>
            </w:pPr>
          </w:p>
          <w:p>
            <w:pPr>
              <w:pStyle w:val="2"/>
              <w:ind w:left="0" w:leftChars="0" w:firstLine="0" w:firstLineChars="0"/>
            </w:pPr>
          </w:p>
          <w:p>
            <w:pPr>
              <w:ind w:firstLine="960" w:firstLineChars="400"/>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王本陈</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教务处</w:t>
            </w:r>
          </w:p>
          <w:p>
            <w:pPr>
              <w:jc w:val="both"/>
              <w:rPr>
                <w:rFonts w:ascii="仿宋_GB2312" w:hAnsi="Times New Roman" w:eastAsia="仿宋_GB2312"/>
                <w:sz w:val="24"/>
              </w:rPr>
            </w:pPr>
          </w:p>
          <w:p>
            <w:pPr>
              <w:ind w:firstLine="960" w:firstLineChars="400"/>
              <w:jc w:val="center"/>
              <w:rPr>
                <w:rFonts w:ascii="仿宋_GB2312"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4.7.2 毕业管理过程规范，关键环节落实到位（6分）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（1）毕业生登记表填写规范情况（2分）</w:t>
            </w:r>
          </w:p>
          <w:p>
            <w:pPr>
              <w:rPr>
                <w:rFonts w:ascii="仿宋_GB2312" w:hAnsi="Times New Roman" w:eastAsia="仿宋_GB2312"/>
                <w:color w:val="auto"/>
                <w:sz w:val="24"/>
              </w:rPr>
            </w:pPr>
            <w:r>
              <w:rPr>
                <w:rFonts w:hint="eastAsia" w:ascii="仿宋_GB2312" w:hAnsi="Times New Roman" w:eastAsia="仿宋_GB2312"/>
                <w:color w:val="auto"/>
                <w:sz w:val="24"/>
              </w:rPr>
              <w:t>（2）毕业资格审核规范情况（4分）</w:t>
            </w:r>
          </w:p>
        </w:tc>
        <w:tc>
          <w:tcPr>
            <w:tcW w:w="787" w:type="pct"/>
            <w:vMerge w:val="continue"/>
            <w:vAlign w:val="center"/>
          </w:tcPr>
          <w:p>
            <w:pPr>
              <w:jc w:val="center"/>
              <w:rPr>
                <w:rFonts w:ascii="仿宋_GB2312"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4.7.3 学位管理流程规范，学位审核严谨，关键环节落实到位（6分）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（1）学位审核表填写规范情况（2分）</w:t>
            </w:r>
          </w:p>
          <w:p>
            <w:pPr>
              <w:rPr>
                <w:rFonts w:ascii="仿宋_GB2312" w:hAnsi="Times New Roman" w:eastAsia="仿宋_GB2312"/>
                <w:color w:val="auto"/>
                <w:sz w:val="24"/>
              </w:rPr>
            </w:pPr>
            <w:r>
              <w:rPr>
                <w:rFonts w:hint="eastAsia" w:ascii="仿宋_GB2312" w:hAnsi="Times New Roman" w:eastAsia="仿宋_GB2312"/>
                <w:color w:val="auto"/>
                <w:sz w:val="24"/>
              </w:rPr>
              <w:t>（2）审核意见填写规范情况（4分）</w:t>
            </w:r>
          </w:p>
        </w:tc>
        <w:tc>
          <w:tcPr>
            <w:tcW w:w="787" w:type="pct"/>
            <w:vMerge w:val="continue"/>
            <w:vAlign w:val="center"/>
          </w:tcPr>
          <w:p>
            <w:pPr>
              <w:jc w:val="center"/>
              <w:rPr>
                <w:rFonts w:ascii="仿宋_GB2312"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4.7.4 毕业证书和学位证书保管得当、发放及时（6分）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（1）毕业证书保存、移交和发放签收规范情况（3分）</w:t>
            </w:r>
          </w:p>
          <w:p>
            <w:pPr>
              <w:rPr>
                <w:rFonts w:ascii="仿宋_GB2312" w:hAnsi="Times New Roman" w:eastAsia="仿宋_GB2312"/>
                <w:color w:val="auto"/>
                <w:sz w:val="24"/>
              </w:rPr>
            </w:pPr>
            <w:r>
              <w:rPr>
                <w:rFonts w:hint="eastAsia" w:ascii="仿宋_GB2312" w:hAnsi="Times New Roman" w:eastAsia="仿宋_GB2312"/>
                <w:color w:val="auto"/>
                <w:sz w:val="24"/>
              </w:rPr>
              <w:t>（2）学位证书保存、移交和发放签收规范情况（3分）</w:t>
            </w:r>
          </w:p>
        </w:tc>
        <w:tc>
          <w:tcPr>
            <w:tcW w:w="787" w:type="pct"/>
            <w:vMerge w:val="continue"/>
            <w:vAlign w:val="center"/>
          </w:tcPr>
          <w:p>
            <w:pPr>
              <w:jc w:val="center"/>
              <w:rPr>
                <w:rFonts w:ascii="仿宋_GB2312"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4.7.5 免修免考管理流程规范，审核严谨，反馈及时（6分）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（1）分部按规范标准进行免修免考审核并上报的情况（4分）</w:t>
            </w:r>
          </w:p>
          <w:p>
            <w:pPr>
              <w:rPr>
                <w:rFonts w:ascii="仿宋_GB2312" w:hAnsi="Times New Roman" w:eastAsia="仿宋_GB2312"/>
                <w:color w:val="auto"/>
                <w:sz w:val="24"/>
              </w:rPr>
            </w:pPr>
            <w:r>
              <w:rPr>
                <w:rFonts w:hint="eastAsia" w:ascii="仿宋_GB2312" w:hAnsi="Times New Roman" w:eastAsia="仿宋_GB2312"/>
                <w:color w:val="auto"/>
                <w:sz w:val="24"/>
              </w:rPr>
              <w:t>（2）反馈结果及时（2分）</w:t>
            </w:r>
          </w:p>
        </w:tc>
        <w:tc>
          <w:tcPr>
            <w:tcW w:w="787" w:type="pct"/>
            <w:vMerge w:val="continue"/>
            <w:vAlign w:val="center"/>
          </w:tcPr>
          <w:p>
            <w:pPr>
              <w:jc w:val="center"/>
              <w:rPr>
                <w:rFonts w:ascii="仿宋_GB2312"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5.质量管理（120分）</w:t>
            </w: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5.1 执行国家开放大学质量标准、落实质量报告工作、完成评估检查及整改工作的情况（50分）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5.1.1 严格执行国家开放大学质量标准，并组织分校系统贯彻落实（20分）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（1）分部执行国家开放大学质量标准，教职工对质量标准知晓度的情况（10分）</w:t>
            </w:r>
          </w:p>
          <w:p>
            <w:pPr>
              <w:rPr>
                <w:rFonts w:ascii="仿宋_GB2312" w:hAnsi="Times New Roman" w:eastAsia="仿宋_GB2312"/>
                <w:color w:val="auto"/>
                <w:sz w:val="24"/>
              </w:rPr>
            </w:pPr>
            <w:r>
              <w:rPr>
                <w:rFonts w:hint="eastAsia" w:ascii="仿宋_GB2312" w:hAnsi="Times New Roman" w:eastAsia="仿宋_GB2312"/>
                <w:color w:val="auto"/>
                <w:sz w:val="24"/>
              </w:rPr>
              <w:t>（2）在分部系统内组织贯彻落实的情况（10分）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5.1.2 质量报告编制认真，分校系统有落实年报报送与发布的机制（10分）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（1）质量报告编写认真，报送及时的情况（5分）</w:t>
            </w:r>
          </w:p>
          <w:p>
            <w:pPr>
              <w:rPr>
                <w:rFonts w:ascii="仿宋_GB2312" w:hAnsi="Times New Roman" w:eastAsia="仿宋_GB2312"/>
                <w:color w:val="auto"/>
                <w:sz w:val="24"/>
              </w:rPr>
            </w:pPr>
            <w:r>
              <w:rPr>
                <w:rFonts w:hint="eastAsia" w:ascii="仿宋_GB2312" w:hAnsi="Times New Roman" w:eastAsia="仿宋_GB2312"/>
                <w:color w:val="auto"/>
                <w:sz w:val="24"/>
              </w:rPr>
              <w:t>（2）分校系统落实年报报送与发布的机制的情况（5分）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5.1.3 落实分校检查督导等工作要求并有效整改（20分）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（1）按分部部署，制定工作方案、明确领导小组和工作小组，如期推进相关工作的情况（12分）</w:t>
            </w:r>
          </w:p>
          <w:p>
            <w:pPr>
              <w:rPr>
                <w:rFonts w:ascii="仿宋_GB2312" w:hAnsi="Times New Roman" w:eastAsia="仿宋_GB2312"/>
                <w:color w:val="auto"/>
                <w:sz w:val="24"/>
              </w:rPr>
            </w:pPr>
            <w:r>
              <w:rPr>
                <w:rFonts w:hint="eastAsia" w:ascii="仿宋_GB2312" w:hAnsi="Times New Roman" w:eastAsia="仿宋_GB2312"/>
                <w:color w:val="auto"/>
                <w:sz w:val="24"/>
              </w:rPr>
              <w:t>（2）对分部评估、检查、督导发现的问题有效整改的情况（8分）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5.2 分部质量管理团队和质量保证体系的建设与运行（70分）</w:t>
            </w:r>
          </w:p>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5.2.1 持续完善分校系统办学的质量保证体系（20分）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分校有完整质量保证体系，并有效执行（16-20分）；分校质量保证有措施，逐步完善，努力构建质量保证体系（6-15分）；分部没有有效质量保证措施（0-5分）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5.2.2分校系统建有质量管理团队且工作有效（20分）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分校系统质量管理团队及工作情况（20分）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5.2.3 定期或不定期开展对工作站的教学检查、督导，通报结果并督促整改（30分）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定期开展情况，通报结果、督促整改情况（30分）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56" w:type="pct"/>
            <w:vMerge w:val="restart"/>
            <w:shd w:val="clear" w:color="auto" w:fill="auto"/>
            <w:vAlign w:val="center"/>
          </w:tcPr>
          <w:p>
            <w:pPr>
              <w:jc w:val="left"/>
              <w:rPr>
                <w:rFonts w:ascii="仿宋_GB2312" w:hAnsi="Times New Roman" w:eastAsia="仿宋_GB2312"/>
                <w:color w:val="auto"/>
                <w:sz w:val="24"/>
              </w:rPr>
            </w:pPr>
            <w:r>
              <w:rPr>
                <w:rFonts w:hint="eastAsia" w:ascii="仿宋_GB2312" w:hAnsi="Times New Roman" w:eastAsia="仿宋_GB2312"/>
                <w:color w:val="auto"/>
                <w:sz w:val="24"/>
              </w:rPr>
              <w:t>6.创新与服务（90分）</w:t>
            </w: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6.1 人才培养模式改革、教学改革、管理制度创新（40分）</w:t>
            </w: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6.1.1 积极参加分部组织的教学改革试点，教学改革、人才培养模式改革思路清晰，有举措、有进展（20分）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（1）人才培养模式改革，以及教学模式、管理模式、运行机制的提炼表述情况（10分）</w:t>
            </w:r>
          </w:p>
          <w:p>
            <w:pPr>
              <w:rPr>
                <w:rFonts w:ascii="仿宋_GB2312" w:hAnsi="Times New Roman" w:eastAsia="仿宋_GB2312"/>
                <w:color w:val="auto"/>
                <w:sz w:val="24"/>
              </w:rPr>
            </w:pPr>
            <w:r>
              <w:rPr>
                <w:rFonts w:hint="eastAsia" w:ascii="仿宋_GB2312" w:hAnsi="Times New Roman" w:eastAsia="仿宋_GB2312"/>
                <w:color w:val="auto"/>
                <w:sz w:val="24"/>
              </w:rPr>
              <w:t>（2）改革的措施、进展、痕迹、成效情况（10分）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6.1.2 教学管理制度建设有创新（20分）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（1）教学管理制度建设在全面规范基础上的特色、创新程度（10分）</w:t>
            </w:r>
          </w:p>
          <w:p>
            <w:pPr>
              <w:rPr>
                <w:rFonts w:ascii="仿宋_GB2312" w:hAnsi="Times New Roman" w:eastAsia="仿宋_GB2312"/>
                <w:color w:val="auto"/>
                <w:sz w:val="24"/>
              </w:rPr>
            </w:pPr>
            <w:r>
              <w:rPr>
                <w:rFonts w:hint="eastAsia" w:ascii="仿宋_GB2312" w:hAnsi="Times New Roman" w:eastAsia="仿宋_GB2312"/>
                <w:color w:val="auto"/>
                <w:sz w:val="24"/>
              </w:rPr>
              <w:t>（2）可复制、可推广的程度（10分）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6.2 服务经济社会发展的效果与影响（50分）</w:t>
            </w:r>
          </w:p>
        </w:tc>
        <w:tc>
          <w:tcPr>
            <w:tcW w:w="108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6.2.1 积极服务区域经济社会发展，在当地的社会影响正面、较好（25分）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（1）学历教育人才培养在当地的正面社会影响情况（10分）</w:t>
            </w:r>
          </w:p>
        </w:tc>
        <w:tc>
          <w:tcPr>
            <w:tcW w:w="787" w:type="pct"/>
            <w:vAlign w:val="center"/>
          </w:tcPr>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权苏琴</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7" w:hRule="atLeast"/>
          <w:jc w:val="center"/>
        </w:trPr>
        <w:tc>
          <w:tcPr>
            <w:tcW w:w="456" w:type="pct"/>
            <w:vMerge w:val="continue"/>
            <w:vAlign w:val="center"/>
          </w:tcPr>
          <w:p>
            <w:pPr>
              <w:jc w:val="center"/>
              <w:rPr>
                <w:color w:val="auto"/>
              </w:rPr>
            </w:pPr>
          </w:p>
        </w:tc>
        <w:tc>
          <w:tcPr>
            <w:tcW w:w="463" w:type="pct"/>
            <w:vMerge w:val="continue"/>
            <w:shd w:val="clear" w:color="auto" w:fill="auto"/>
            <w:vAlign w:val="center"/>
          </w:tcPr>
          <w:p>
            <w:pPr>
              <w:jc w:val="center"/>
              <w:rPr>
                <w:color w:val="auto"/>
              </w:rPr>
            </w:pPr>
          </w:p>
        </w:tc>
        <w:tc>
          <w:tcPr>
            <w:tcW w:w="1083" w:type="pct"/>
            <w:vMerge w:val="continue"/>
            <w:shd w:val="clear" w:color="auto" w:fill="auto"/>
            <w:vAlign w:val="center"/>
          </w:tcPr>
          <w:p>
            <w:pPr>
              <w:jc w:val="center"/>
              <w:rPr>
                <w:color w:val="auto"/>
              </w:rPr>
            </w:pPr>
          </w:p>
        </w:tc>
        <w:tc>
          <w:tcPr>
            <w:tcW w:w="2210" w:type="pct"/>
            <w:vAlign w:val="center"/>
          </w:tcPr>
          <w:p>
            <w:pPr>
              <w:jc w:val="both"/>
              <w:rPr>
                <w:color w:val="auto"/>
              </w:rPr>
            </w:pPr>
            <w:r>
              <w:rPr>
                <w:rFonts w:hint="eastAsia" w:ascii="仿宋_GB2312" w:hAnsi="Times New Roman" w:eastAsia="仿宋_GB2312"/>
                <w:color w:val="auto"/>
                <w:sz w:val="24"/>
              </w:rPr>
              <w:t>（2）非学历教育及社区老年教育、社会培训、学分银行等在当地的正面社会影响情况（15分）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段  庆</w:t>
            </w:r>
          </w:p>
          <w:p>
            <w:pPr>
              <w:ind w:firstLine="960" w:firstLineChars="400"/>
              <w:jc w:val="center"/>
              <w:rPr>
                <w:rFonts w:ascii="仿宋_GB2312" w:hAnsi="Times New Roman" w:eastAsia="仿宋_GB2312"/>
                <w:sz w:val="24"/>
              </w:rPr>
            </w:pPr>
          </w:p>
          <w:p>
            <w:pPr>
              <w:jc w:val="center"/>
              <w:rPr>
                <w:rFonts w:hint="eastAsia" w:ascii="仿宋_GB2312" w:hAnsi="Times New Roman" w:eastAsia="仿宋_GB2312"/>
                <w:sz w:val="24"/>
                <w:lang w:val="en-US" w:eastAsia="zh-CN"/>
              </w:rPr>
            </w:pPr>
            <w:r>
              <w:rPr>
                <w:rFonts w:hint="eastAsia" w:ascii="仿宋_GB2312" w:hAnsi="Times New Roman" w:eastAsia="仿宋_GB2312"/>
                <w:sz w:val="24"/>
              </w:rPr>
              <w:t>培训</w:t>
            </w:r>
            <w:r>
              <w:rPr>
                <w:rFonts w:hint="eastAsia" w:ascii="仿宋_GB2312" w:hAnsi="Times New Roman" w:eastAsia="仿宋_GB2312"/>
                <w:sz w:val="24"/>
                <w:lang w:val="en-US" w:eastAsia="zh-CN"/>
              </w:rPr>
              <w:t>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shd w:val="clear" w:color="auto" w:fill="auto"/>
            <w:vAlign w:val="center"/>
          </w:tcPr>
          <w:p>
            <w:pPr>
              <w:rPr>
                <w:rFonts w:ascii="仿宋_GB2312" w:hAnsi="Times New Roman" w:eastAsia="仿宋_GB2312"/>
                <w:color w:val="auto"/>
                <w:sz w:val="24"/>
              </w:rPr>
            </w:pPr>
          </w:p>
        </w:tc>
        <w:tc>
          <w:tcPr>
            <w:tcW w:w="1083" w:type="pc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6.2.2 当地政府或教育行政部门对办学单位有政策、项目的支持或投入（10分）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（1）当地政府或教育行政部门对开放大学办学有支持性政策性批文（5分）</w:t>
            </w:r>
          </w:p>
          <w:p>
            <w:pPr>
              <w:rPr>
                <w:rFonts w:ascii="仿宋_GB2312" w:hAnsi="Times New Roman" w:eastAsia="仿宋_GB2312"/>
                <w:color w:val="auto"/>
                <w:sz w:val="24"/>
              </w:rPr>
            </w:pPr>
            <w:r>
              <w:rPr>
                <w:rFonts w:hint="eastAsia" w:ascii="仿宋_GB2312" w:hAnsi="Times New Roman" w:eastAsia="仿宋_GB2312"/>
                <w:color w:val="auto"/>
                <w:sz w:val="24"/>
              </w:rPr>
              <w:t>（2）当地政府或教育行政部门对开放大学的项目立项、财政拨款情况（5分）</w:t>
            </w:r>
          </w:p>
        </w:tc>
        <w:tc>
          <w:tcPr>
            <w:tcW w:w="787" w:type="pct"/>
            <w:vAlign w:val="center"/>
          </w:tcPr>
          <w:p>
            <w:pPr>
              <w:jc w:val="center"/>
              <w:rPr>
                <w:rFonts w:ascii="仿宋_GB2312" w:hAnsi="Times New Roman" w:eastAsia="仿宋_GB2312"/>
                <w:sz w:val="24"/>
              </w:rPr>
            </w:pPr>
            <w:r>
              <w:rPr>
                <w:rFonts w:hint="eastAsia" w:ascii="仿宋_GB2312" w:hAnsi="Times New Roman" w:eastAsia="仿宋_GB2312"/>
                <w:sz w:val="24"/>
              </w:rPr>
              <w:t>韦  未</w:t>
            </w:r>
          </w:p>
          <w:p>
            <w:pPr>
              <w:jc w:val="center"/>
              <w:rPr>
                <w:rFonts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56" w:type="pct"/>
            <w:vMerge w:val="continue"/>
            <w:vAlign w:val="center"/>
          </w:tcPr>
          <w:p>
            <w:pPr>
              <w:rPr>
                <w:rFonts w:ascii="仿宋_GB2312" w:hAnsi="Times New Roman" w:eastAsia="仿宋_GB2312"/>
                <w:color w:val="auto"/>
                <w:sz w:val="24"/>
              </w:rPr>
            </w:pPr>
          </w:p>
        </w:tc>
        <w:tc>
          <w:tcPr>
            <w:tcW w:w="463" w:type="pct"/>
            <w:vMerge w:val="continue"/>
            <w:vAlign w:val="center"/>
          </w:tcPr>
          <w:p>
            <w:pPr>
              <w:rPr>
                <w:rFonts w:ascii="仿宋_GB2312" w:hAnsi="Times New Roman" w:eastAsia="仿宋_GB2312"/>
                <w:color w:val="auto"/>
                <w:sz w:val="24"/>
              </w:rPr>
            </w:pPr>
          </w:p>
        </w:tc>
        <w:tc>
          <w:tcPr>
            <w:tcW w:w="1083" w:type="pct"/>
            <w:vMerge w:val="restart"/>
            <w:shd w:val="clear" w:color="auto" w:fill="auto"/>
            <w:vAlign w:val="center"/>
          </w:tcPr>
          <w:p>
            <w:pPr>
              <w:rPr>
                <w:rFonts w:ascii="仿宋_GB2312" w:hAnsi="Times New Roman" w:eastAsia="仿宋_GB2312"/>
                <w:color w:val="auto"/>
                <w:sz w:val="24"/>
              </w:rPr>
            </w:pPr>
            <w:r>
              <w:rPr>
                <w:rFonts w:hint="eastAsia" w:ascii="仿宋_GB2312" w:hAnsi="Times New Roman" w:eastAsia="仿宋_GB2312"/>
                <w:color w:val="auto"/>
                <w:sz w:val="24"/>
              </w:rPr>
              <w:t>6.2.3 取得教学科研成果，培养的学生获得政府奖励或在地方有影响力（15分）</w:t>
            </w:r>
          </w:p>
        </w:tc>
        <w:tc>
          <w:tcPr>
            <w:tcW w:w="2210" w:type="pct"/>
            <w:vAlign w:val="center"/>
          </w:tcPr>
          <w:p>
            <w:pPr>
              <w:rPr>
                <w:rFonts w:ascii="仿宋_GB2312" w:hAnsi="Times New Roman" w:eastAsia="仿宋_GB2312"/>
                <w:color w:val="auto"/>
                <w:sz w:val="24"/>
              </w:rPr>
            </w:pPr>
            <w:r>
              <w:rPr>
                <w:rFonts w:hint="eastAsia" w:ascii="仿宋_GB2312" w:hAnsi="Times New Roman" w:eastAsia="仿宋_GB2312"/>
                <w:color w:val="auto"/>
                <w:sz w:val="24"/>
              </w:rPr>
              <w:t>（1）获得教学科研成果情况（10分）</w:t>
            </w:r>
          </w:p>
        </w:tc>
        <w:tc>
          <w:tcPr>
            <w:tcW w:w="787" w:type="pct"/>
            <w:vAlign w:val="center"/>
          </w:tcPr>
          <w:p>
            <w:pPr>
              <w:jc w:val="center"/>
              <w:rPr>
                <w:rFonts w:hint="eastAsia" w:ascii="仿宋_GB2312" w:hAnsi="Times New Roman" w:eastAsia="仿宋_GB2312"/>
                <w:sz w:val="24"/>
              </w:rPr>
            </w:pPr>
            <w:r>
              <w:rPr>
                <w:rFonts w:hint="eastAsia" w:ascii="仿宋_GB2312" w:hAnsi="Times New Roman" w:eastAsia="仿宋_GB2312"/>
                <w:sz w:val="24"/>
              </w:rPr>
              <w:t>刘宜东</w:t>
            </w:r>
          </w:p>
          <w:p>
            <w:pPr>
              <w:jc w:val="center"/>
              <w:rPr>
                <w:rFonts w:hint="eastAsia" w:ascii="仿宋_GB2312" w:hAnsi="Times New Roman" w:eastAsia="仿宋_GB2312"/>
                <w:sz w:val="24"/>
              </w:rPr>
            </w:pPr>
          </w:p>
          <w:p>
            <w:pPr>
              <w:jc w:val="center"/>
              <w:rPr>
                <w:rFonts w:ascii="仿宋_GB2312" w:hAnsi="Times New Roman" w:eastAsia="仿宋_GB2312"/>
                <w:sz w:val="24"/>
              </w:rPr>
            </w:pPr>
            <w:r>
              <w:rPr>
                <w:rFonts w:hint="eastAsia" w:ascii="仿宋_GB2312" w:hAnsi="Times New Roman" w:eastAsia="仿宋_GB2312"/>
                <w:sz w:val="24"/>
              </w:rPr>
              <w:t>远研室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456" w:type="pct"/>
            <w:vMerge w:val="continue"/>
            <w:vAlign w:val="center"/>
          </w:tcPr>
          <w:p>
            <w:pPr>
              <w:ind w:firstLine="840" w:firstLineChars="400"/>
              <w:rPr>
                <w:color w:val="auto"/>
              </w:rPr>
            </w:pPr>
          </w:p>
        </w:tc>
        <w:tc>
          <w:tcPr>
            <w:tcW w:w="463" w:type="pct"/>
            <w:vMerge w:val="continue"/>
            <w:vAlign w:val="center"/>
          </w:tcPr>
          <w:p>
            <w:pPr>
              <w:ind w:firstLine="840" w:firstLineChars="400"/>
              <w:rPr>
                <w:color w:val="auto"/>
              </w:rPr>
            </w:pPr>
          </w:p>
        </w:tc>
        <w:tc>
          <w:tcPr>
            <w:tcW w:w="1083" w:type="pct"/>
            <w:vMerge w:val="continue"/>
            <w:shd w:val="clear" w:color="auto" w:fill="auto"/>
            <w:vAlign w:val="center"/>
          </w:tcPr>
          <w:p>
            <w:pPr>
              <w:ind w:firstLine="840" w:firstLineChars="400"/>
              <w:rPr>
                <w:color w:val="auto"/>
              </w:rPr>
            </w:pPr>
          </w:p>
        </w:tc>
        <w:tc>
          <w:tcPr>
            <w:tcW w:w="2210" w:type="pct"/>
            <w:vAlign w:val="center"/>
          </w:tcPr>
          <w:p>
            <w:pPr>
              <w:rPr>
                <w:color w:val="auto"/>
              </w:rPr>
            </w:pPr>
            <w:r>
              <w:rPr>
                <w:rFonts w:hint="eastAsia" w:ascii="仿宋_GB2312" w:hAnsi="Times New Roman" w:eastAsia="仿宋_GB2312"/>
                <w:color w:val="auto"/>
                <w:sz w:val="24"/>
              </w:rPr>
              <w:t>（2）培养的学生获得政府奖励或在地方影响的情况（5分）</w:t>
            </w:r>
          </w:p>
        </w:tc>
        <w:tc>
          <w:tcPr>
            <w:tcW w:w="787" w:type="pct"/>
            <w:vAlign w:val="center"/>
          </w:tcPr>
          <w:p>
            <w:pPr>
              <w:jc w:val="center"/>
              <w:rPr>
                <w:rFonts w:hint="eastAsia" w:ascii="仿宋_GB2312" w:hAnsi="Times New Roman" w:eastAsia="仿宋_GB2312"/>
                <w:sz w:val="24"/>
              </w:rPr>
            </w:pPr>
            <w:r>
              <w:rPr>
                <w:rFonts w:hint="eastAsia" w:ascii="仿宋_GB2312" w:hAnsi="Times New Roman" w:eastAsia="仿宋_GB2312"/>
                <w:sz w:val="24"/>
              </w:rPr>
              <w:t>权苏琴</w:t>
            </w:r>
          </w:p>
          <w:p>
            <w:pPr>
              <w:jc w:val="center"/>
              <w:rPr>
                <w:rFonts w:hint="eastAsia" w:ascii="仿宋_GB2312" w:hAnsi="Times New Roman" w:eastAsia="仿宋_GB2312"/>
                <w:sz w:val="24"/>
              </w:rPr>
            </w:pPr>
          </w:p>
          <w:p>
            <w:pPr>
              <w:jc w:val="center"/>
              <w:rPr>
                <w:rFonts w:hint="eastAsia" w:ascii="仿宋_GB2312" w:hAnsi="Times New Roman" w:eastAsia="仿宋_GB2312"/>
                <w:sz w:val="24"/>
              </w:rPr>
            </w:pPr>
            <w:r>
              <w:rPr>
                <w:rFonts w:hint="eastAsia" w:ascii="仿宋_GB2312" w:hAnsi="Times New Roman" w:eastAsia="仿宋_GB2312"/>
                <w:sz w:val="24"/>
              </w:rPr>
              <w:t>教学处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5"/>
            <w:vAlign w:val="center"/>
          </w:tcPr>
          <w:p>
            <w:pPr>
              <w:rPr>
                <w:rFonts w:ascii="仿宋_GB2312" w:hAnsi="Times New Roman" w:eastAsia="仿宋_GB2312"/>
                <w:sz w:val="24"/>
              </w:rPr>
            </w:pPr>
            <w:r>
              <w:rPr>
                <w:rFonts w:hint="eastAsia" w:ascii="仿宋_GB2312" w:hAnsi="Times New Roman" w:eastAsia="仿宋_GB2312"/>
                <w:sz w:val="24"/>
              </w:rPr>
              <w:t>合计1000分</w:t>
            </w:r>
          </w:p>
        </w:tc>
      </w:tr>
    </w:tbl>
    <w:p>
      <w:pPr>
        <w:jc w:val="left"/>
        <w:rPr>
          <w:rFonts w:ascii="Times New Roman" w:hAnsi="Times New Roman" w:eastAsia="仿宋_GB2312"/>
          <w:kern w:val="0"/>
          <w:sz w:val="24"/>
        </w:rPr>
      </w:pPr>
      <w:r>
        <w:rPr>
          <w:rFonts w:ascii="Times New Roman" w:hAnsi="Times New Roman" w:eastAsia="仿宋_GB2312"/>
          <w:kern w:val="0"/>
          <w:sz w:val="24"/>
        </w:rPr>
        <w:t>说明：1.“</w:t>
      </w:r>
      <w:r>
        <w:rPr>
          <w:rFonts w:ascii="Times New Roman" w:hAnsi="Times New Roman" w:eastAsia="仿宋_GB2312"/>
          <w:color w:val="0070C0"/>
          <w:kern w:val="0"/>
          <w:sz w:val="24"/>
        </w:rPr>
        <w:t>分</w:t>
      </w:r>
      <w:r>
        <w:rPr>
          <w:rFonts w:hint="eastAsia" w:ascii="Times New Roman" w:hAnsi="Times New Roman" w:eastAsia="仿宋_GB2312"/>
          <w:color w:val="0070C0"/>
          <w:kern w:val="0"/>
          <w:sz w:val="24"/>
        </w:rPr>
        <w:t>校</w:t>
      </w:r>
      <w:r>
        <w:rPr>
          <w:rFonts w:ascii="Times New Roman" w:hAnsi="Times New Roman" w:eastAsia="仿宋_GB2312"/>
          <w:color w:val="0070C0"/>
          <w:kern w:val="0"/>
          <w:sz w:val="24"/>
        </w:rPr>
        <w:t>”指分</w:t>
      </w:r>
      <w:r>
        <w:rPr>
          <w:rFonts w:hint="eastAsia" w:ascii="Times New Roman" w:hAnsi="Times New Roman" w:eastAsia="仿宋_GB2312"/>
          <w:color w:val="0070C0"/>
          <w:kern w:val="0"/>
          <w:sz w:val="24"/>
        </w:rPr>
        <w:t>校</w:t>
      </w:r>
      <w:r>
        <w:rPr>
          <w:rFonts w:ascii="Times New Roman" w:hAnsi="Times New Roman" w:eastAsia="仿宋_GB2312"/>
          <w:color w:val="0070C0"/>
          <w:kern w:val="0"/>
          <w:sz w:val="24"/>
        </w:rPr>
        <w:t>本身，“分</w:t>
      </w:r>
      <w:r>
        <w:rPr>
          <w:rFonts w:hint="eastAsia" w:ascii="Times New Roman" w:hAnsi="Times New Roman" w:eastAsia="仿宋_GB2312"/>
          <w:color w:val="0070C0"/>
          <w:kern w:val="0"/>
          <w:sz w:val="24"/>
        </w:rPr>
        <w:t>校</w:t>
      </w:r>
      <w:r>
        <w:rPr>
          <w:rFonts w:ascii="Times New Roman" w:hAnsi="Times New Roman" w:eastAsia="仿宋_GB2312"/>
          <w:color w:val="0070C0"/>
          <w:kern w:val="0"/>
          <w:sz w:val="24"/>
        </w:rPr>
        <w:t>系统”指分</w:t>
      </w:r>
      <w:r>
        <w:rPr>
          <w:rFonts w:hint="eastAsia" w:ascii="Times New Roman" w:hAnsi="Times New Roman" w:eastAsia="仿宋_GB2312"/>
          <w:color w:val="0070C0"/>
          <w:kern w:val="0"/>
          <w:sz w:val="24"/>
        </w:rPr>
        <w:t>校及工作站</w:t>
      </w:r>
      <w:r>
        <w:rPr>
          <w:rFonts w:ascii="Times New Roman" w:hAnsi="Times New Roman" w:eastAsia="仿宋_GB2312"/>
          <w:kern w:val="0"/>
          <w:sz w:val="24"/>
        </w:rPr>
        <w:t>。</w:t>
      </w:r>
    </w:p>
    <w:p>
      <w:pPr>
        <w:ind w:firstLine="720" w:firstLineChars="300"/>
        <w:jc w:val="left"/>
        <w:rPr>
          <w:rFonts w:ascii="Times New Roman" w:hAnsi="Times New Roman" w:eastAsia="仿宋_GB2312"/>
          <w:kern w:val="0"/>
          <w:sz w:val="24"/>
        </w:rPr>
      </w:pPr>
      <w:r>
        <w:rPr>
          <w:rFonts w:ascii="Times New Roman" w:hAnsi="Times New Roman" w:eastAsia="仿宋_GB2312"/>
          <w:kern w:val="0"/>
          <w:sz w:val="24"/>
        </w:rPr>
        <w:t>2. 具体观测点赋分时，凡内容表述意为“情况”“程度”的，评估时视实际程度赋分；凡内容表述意为“有无”的，评估时视实际情况打满分或零分。</w:t>
      </w:r>
    </w:p>
    <w:p>
      <w:pPr>
        <w:ind w:firstLine="720" w:firstLineChars="300"/>
        <w:jc w:val="left"/>
        <w:rPr>
          <w:rFonts w:ascii="Times New Roman" w:hAnsi="Times New Roman" w:eastAsia="仿宋_GB2312"/>
          <w:kern w:val="0"/>
          <w:sz w:val="24"/>
        </w:rPr>
      </w:pPr>
      <w:r>
        <w:rPr>
          <w:rFonts w:ascii="Times New Roman" w:hAnsi="Times New Roman" w:eastAsia="仿宋_GB2312"/>
          <w:kern w:val="0"/>
          <w:sz w:val="24"/>
        </w:rPr>
        <w:t>3. 每项得分必须是整数。</w:t>
      </w:r>
    </w:p>
    <w:p>
      <w:pPr>
        <w:ind w:firstLine="720" w:firstLineChars="300"/>
        <w:rPr>
          <w:rFonts w:ascii="Times New Roman" w:hAnsi="Times New Roman" w:eastAsia="仿宋_GB2312"/>
          <w:kern w:val="0"/>
          <w:sz w:val="24"/>
        </w:rPr>
      </w:pPr>
      <w:r>
        <w:rPr>
          <w:rFonts w:ascii="Times New Roman" w:hAnsi="Times New Roman" w:eastAsia="仿宋_GB2312"/>
          <w:kern w:val="0"/>
          <w:sz w:val="24"/>
        </w:rPr>
        <w:t>4. 评估结论等次划分：分值≥900为优秀，900＞分值≥750为良好，750＞分值≥600为合格，分值&lt;600为限期整改；合</w:t>
      </w:r>
      <w:r>
        <w:rPr>
          <w:rFonts w:ascii="Times New Roman" w:hAnsi="Times New Roman" w:eastAsia="仿宋_GB2312"/>
          <w:sz w:val="24"/>
        </w:rPr>
        <w:t>格及以上须得分低于标定分值60%的二级指标少于7个，第1个一级指标得分不足60%一票否决</w:t>
      </w:r>
      <w:r>
        <w:rPr>
          <w:rFonts w:ascii="Times New Roman" w:hAnsi="Times New Roman" w:eastAsia="仿宋_GB2312"/>
          <w:kern w:val="0"/>
          <w:sz w:val="24"/>
        </w:rPr>
        <w:t>。</w:t>
      </w:r>
    </w:p>
    <w:p>
      <w:pPr>
        <w:ind w:firstLine="720" w:firstLineChars="300"/>
        <w:jc w:val="left"/>
        <w:rPr>
          <w:rFonts w:hint="eastAsia" w:ascii="Times New Roman" w:hAnsi="Times New Roman" w:eastAsia="仿宋_GB2312"/>
          <w:kern w:val="0"/>
          <w:sz w:val="24"/>
          <w:lang w:eastAsia="zh-CN"/>
        </w:rPr>
        <w:sectPr>
          <w:footerReference r:id="rId3" w:type="default"/>
          <w:pgSz w:w="16838" w:h="11906" w:orient="landscape"/>
          <w:pgMar w:top="1800" w:right="1440" w:bottom="1800" w:left="1440" w:header="851" w:footer="992" w:gutter="0"/>
          <w:cols w:space="425" w:num="1"/>
          <w:docGrid w:type="lines" w:linePitch="312" w:charSpace="0"/>
        </w:sectPr>
      </w:pPr>
      <w:r>
        <w:rPr>
          <w:rFonts w:ascii="Times New Roman" w:hAnsi="Times New Roman" w:eastAsia="仿宋_GB2312"/>
          <w:kern w:val="0"/>
          <w:sz w:val="24"/>
        </w:rPr>
        <w:t>5. 生师比计算公式：</w:t>
      </w:r>
      <m:oMath>
        <m:r>
          <m:rPr/>
          <w:rPr>
            <w:rFonts w:ascii="Cambria Math" w:hAnsi="Cambria Math" w:eastAsia="仿宋_GB2312" w:cs="Cambria Math"/>
            <w:kern w:val="0"/>
            <w:sz w:val="24"/>
          </w:rPr>
          <m:t>L</m:t>
        </m:r>
        <m:r>
          <m:rPr>
            <m:sty m:val="p"/>
          </m:rPr>
          <w:rPr>
            <w:rFonts w:ascii="Cambria Math" w:hAnsi="Cambria Math" w:eastAsia="仿宋_GB2312" w:cs="Cambria Math"/>
            <w:kern w:val="0"/>
            <w:sz w:val="24"/>
          </w:rPr>
          <m:t>(</m:t>
        </m:r>
        <m:r>
          <m:rPr>
            <m:sty m:val="p"/>
          </m:rPr>
          <w:rPr>
            <w:rFonts w:hint="eastAsia" w:ascii="Cambria Math" w:hAnsi="Cambria Math" w:eastAsia="仿宋_GB2312" w:cs="宋体"/>
            <w:kern w:val="0"/>
            <w:sz w:val="24"/>
          </w:rPr>
          <m:t>生师比）</m:t>
        </m:r>
        <m:r>
          <m:rPr>
            <m:sty m:val="p"/>
          </m:rPr>
          <w:rPr>
            <w:rFonts w:ascii="Cambria Math" w:hAnsi="Cambria Math" w:eastAsia="仿宋_GB2312" w:cs="Cambria Math"/>
            <w:kern w:val="0"/>
            <w:sz w:val="24"/>
          </w:rPr>
          <m:t>=</m:t>
        </m:r>
        <m:f>
          <m:fPr>
            <m:ctrlPr>
              <w:rPr>
                <w:rFonts w:hint="eastAsia" w:ascii="Cambria Math" w:hAnsi="Cambria Math" w:eastAsia="仿宋_GB2312" w:cs="宋体"/>
                <w:kern w:val="0"/>
                <w:sz w:val="24"/>
              </w:rPr>
            </m:ctrlPr>
          </m:fPr>
          <m:num>
            <m:r>
              <m:rPr>
                <m:sty m:val="p"/>
              </m:rPr>
              <w:rPr>
                <w:rFonts w:ascii="Cambria Math" w:hAnsi="Cambria Math" w:eastAsia="仿宋_GB2312" w:cs="Cambria Math"/>
                <w:kern w:val="0"/>
                <w:sz w:val="24"/>
              </w:rPr>
              <m:t>N</m:t>
            </m:r>
            <m:ctrlPr>
              <w:rPr>
                <w:rFonts w:hint="eastAsia" w:ascii="Cambria Math" w:hAnsi="Cambria Math" w:eastAsia="仿宋_GB2312" w:cs="宋体"/>
                <w:kern w:val="0"/>
                <w:sz w:val="24"/>
              </w:rPr>
            </m:ctrlPr>
          </m:num>
          <m:den>
            <m:r>
              <m:rPr/>
              <w:rPr>
                <w:rFonts w:ascii="Cambria Math" w:hAnsi="Cambria Math" w:eastAsia="仿宋_GB2312" w:cs="Cambria Math"/>
                <w:kern w:val="0"/>
                <w:sz w:val="24"/>
              </w:rPr>
              <m:t>X</m:t>
            </m:r>
            <m:r>
              <m:rPr>
                <m:sty m:val="p"/>
              </m:rPr>
              <w:rPr>
                <w:rFonts w:ascii="Cambria Math" w:hAnsi="Cambria Math" w:eastAsia="仿宋_GB2312" w:cs="Cambria Math"/>
                <w:kern w:val="0"/>
                <w:sz w:val="24"/>
              </w:rPr>
              <m:t>+</m:t>
            </m:r>
            <m:r>
              <m:rPr/>
              <w:rPr>
                <w:rFonts w:ascii="Cambria Math" w:hAnsi="Cambria Math" w:eastAsia="仿宋_GB2312" w:cs="宋体"/>
                <w:kern w:val="0"/>
                <w:sz w:val="24"/>
              </w:rPr>
              <m:t>Y</m:t>
            </m:r>
            <m:r>
              <m:rPr>
                <m:sty m:val="p"/>
              </m:rPr>
              <w:rPr>
                <w:rFonts w:hint="eastAsia" w:ascii="Cambria Math" w:hAnsi="Cambria Math" w:eastAsia="仿宋_GB2312" w:cs="宋体"/>
                <w:kern w:val="0"/>
                <w:sz w:val="24"/>
              </w:rPr>
              <m:t>×</m:t>
            </m:r>
            <m:r>
              <m:rPr>
                <m:sty m:val="p"/>
              </m:rPr>
              <w:rPr>
                <w:rFonts w:ascii="Cambria Math" w:hAnsi="Cambria Math" w:eastAsia="仿宋_GB2312" w:cs="Cambria Math"/>
                <w:kern w:val="0"/>
                <w:sz w:val="24"/>
              </w:rPr>
              <m:t>0.5</m:t>
            </m:r>
            <m:ctrlPr>
              <w:rPr>
                <w:rFonts w:hint="eastAsia" w:ascii="Cambria Math" w:hAnsi="Cambria Math" w:eastAsia="仿宋_GB2312" w:cs="宋体"/>
                <w:kern w:val="0"/>
                <w:sz w:val="24"/>
              </w:rPr>
            </m:ctrlPr>
          </m:den>
        </m:f>
      </m:oMath>
      <w:r>
        <w:rPr>
          <w:rFonts w:ascii="Times New Roman" w:hAnsi="Times New Roman" w:eastAsia="仿宋_GB2312"/>
          <w:kern w:val="0"/>
          <w:sz w:val="24"/>
        </w:rPr>
        <w:t xml:space="preserve"> </w:t>
      </w:r>
      <m:oMath>
        <m:r>
          <m:rPr>
            <m:sty m:val="p"/>
          </m:rPr>
          <w:rPr>
            <w:rFonts w:ascii="Cambria Math" w:hAnsi="Cambria Math" w:eastAsia="仿宋_GB2312" w:cs="Cambria Math"/>
            <w:kern w:val="0"/>
            <w:sz w:val="24"/>
          </w:rPr>
          <m:t>=</m:t>
        </m:r>
        <m:f>
          <m:fPr>
            <m:ctrlPr>
              <w:rPr>
                <w:rFonts w:hint="eastAsia" w:ascii="Cambria Math" w:hAnsi="Cambria Math" w:eastAsia="仿宋_GB2312" w:cs="宋体"/>
                <w:kern w:val="0"/>
                <w:sz w:val="24"/>
              </w:rPr>
            </m:ctrlPr>
          </m:fPr>
          <m:num>
            <m:r>
              <m:rPr>
                <m:sty m:val="p"/>
              </m:rPr>
              <w:rPr>
                <w:rFonts w:ascii="Cambria Math" w:hAnsi="Cambria Math" w:eastAsia="仿宋_GB2312" w:cs="Cambria Math"/>
                <w:kern w:val="0"/>
                <w:sz w:val="24"/>
              </w:rPr>
              <m:t>N</m:t>
            </m:r>
            <m:ctrlPr>
              <w:rPr>
                <w:rFonts w:hint="eastAsia" w:ascii="Cambria Math" w:hAnsi="Cambria Math" w:eastAsia="仿宋_GB2312" w:cs="宋体"/>
                <w:kern w:val="0"/>
                <w:sz w:val="24"/>
              </w:rPr>
            </m:ctrlPr>
          </m:num>
          <m:den>
            <m:r>
              <m:rPr>
                <m:sty m:val="p"/>
              </m:rPr>
              <w:rPr>
                <w:rFonts w:ascii="Cambria Math" w:hAnsi="Cambria Math" w:eastAsia="仿宋_GB2312" w:cs="Cambria Math"/>
                <w:kern w:val="0"/>
                <w:sz w:val="24"/>
              </w:rPr>
              <m:t>C</m:t>
            </m:r>
            <m:r>
              <m:rPr>
                <m:sty m:val="p"/>
              </m:rPr>
              <w:rPr>
                <w:rFonts w:hint="eastAsia" w:ascii="Cambria Math" w:hAnsi="Cambria Math" w:eastAsia="仿宋_GB2312" w:cs="宋体"/>
                <w:kern w:val="0"/>
                <w:sz w:val="24"/>
              </w:rPr>
              <m:t>×</m:t>
            </m:r>
            <m:r>
              <m:rPr>
                <m:sty m:val="p"/>
              </m:rPr>
              <w:rPr>
                <w:rFonts w:ascii="Cambria Math" w:hAnsi="Cambria Math" w:eastAsia="仿宋_GB2312" w:cs="Cambria Math"/>
                <w:kern w:val="0"/>
                <w:sz w:val="24"/>
              </w:rPr>
              <m:t>40%+C</m:t>
            </m:r>
            <m:r>
              <m:rPr>
                <m:sty m:val="p"/>
              </m:rPr>
              <w:rPr>
                <w:rFonts w:hint="eastAsia" w:ascii="Cambria Math" w:hAnsi="Cambria Math" w:eastAsia="仿宋_GB2312" w:cs="宋体"/>
                <w:kern w:val="0"/>
                <w:sz w:val="24"/>
              </w:rPr>
              <m:t>×</m:t>
            </m:r>
            <m:r>
              <m:rPr>
                <m:sty m:val="p"/>
              </m:rPr>
              <w:rPr>
                <w:rFonts w:ascii="Cambria Math" w:hAnsi="Cambria Math" w:eastAsia="仿宋_GB2312" w:cs="Cambria Math"/>
                <w:kern w:val="0"/>
                <w:sz w:val="24"/>
              </w:rPr>
              <m:t>60%</m:t>
            </m:r>
            <m:r>
              <m:rPr>
                <m:sty m:val="p"/>
              </m:rPr>
              <w:rPr>
                <w:rFonts w:hint="eastAsia" w:ascii="Cambria Math" w:hAnsi="Cambria Math" w:eastAsia="仿宋_GB2312" w:cs="宋体"/>
                <w:kern w:val="0"/>
                <w:sz w:val="24"/>
              </w:rPr>
              <m:t>×</m:t>
            </m:r>
            <m:r>
              <m:rPr>
                <m:sty m:val="p"/>
              </m:rPr>
              <w:rPr>
                <w:rFonts w:ascii="Cambria Math" w:hAnsi="Cambria Math" w:eastAsia="仿宋_GB2312" w:cs="Cambria Math"/>
                <w:kern w:val="0"/>
                <w:sz w:val="24"/>
              </w:rPr>
              <m:t>0.5</m:t>
            </m:r>
            <m:ctrlPr>
              <w:rPr>
                <w:rFonts w:hint="eastAsia" w:ascii="Cambria Math" w:hAnsi="Cambria Math" w:eastAsia="仿宋_GB2312" w:cs="宋体"/>
                <w:kern w:val="0"/>
                <w:sz w:val="24"/>
              </w:rPr>
            </m:ctrlPr>
          </m:den>
        </m:f>
      </m:oMath>
      <w:r>
        <w:rPr>
          <w:rFonts w:ascii="Times New Roman" w:hAnsi="Times New Roman" w:eastAsia="仿宋_GB2312"/>
          <w:kern w:val="0"/>
          <w:sz w:val="24"/>
        </w:rPr>
        <w:t>。其中，分部系统学生总数N，分部系统教师总数C。按开放教育课程教学将教师分类为主讲教师数X和辅导教师数Y。国开总部与分部按课程的总体分工为总部60%，分部40%，据此确认分部的主讲教师数X=C×40%，则Y=C×60%。辅导教师参照全日制教育外聘兼职教师按0.5折算为主讲教师数。学生总数N=在籍生数-沉淀生数；系统教师总数指分部系统在岗在编教师总数，最低标准可用分部系统专兼职教师总数计算，得分依据见3.2.1观测点说明</w:t>
      </w:r>
      <w:r>
        <w:rPr>
          <w:rFonts w:hint="eastAsia" w:ascii="Times New Roman" w:hAnsi="Times New Roman" w:eastAsia="仿宋_GB2312"/>
          <w:kern w:val="0"/>
          <w:sz w:val="24"/>
          <w:lang w:eastAsia="zh-CN"/>
        </w:rPr>
        <w:t>。</w:t>
      </w:r>
    </w:p>
    <w:p>
      <w:pPr>
        <w:spacing w:line="560" w:lineRule="exact"/>
      </w:pP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小标宋简体">
    <w:altName w:val="Arial Unicode MS"/>
    <w:panose1 w:val="02010601030101010101"/>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Times New Roman" w:hAnsi="Times New Roman"/>
      </w:rPr>
    </w:pPr>
    <w:r>
      <w:rPr>
        <w:rFonts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lang w:val="zh-CN"/>
      </w:rPr>
      <w:t>24</w:t>
    </w:r>
    <w:r>
      <w:rPr>
        <w:rFonts w:ascii="Times New Roman" w:hAnsi="Times New Roman"/>
        <w:sz w:val="28"/>
        <w:szCs w:val="28"/>
      </w:rPr>
      <w:fldChar w:fldCharType="end"/>
    </w:r>
    <w:r>
      <w:rPr>
        <w:rFonts w:ascii="Times New Roman" w:hAnsi="Times New Roman"/>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00"/>
    <w:rsid w:val="00011E78"/>
    <w:rsid w:val="00021862"/>
    <w:rsid w:val="00021FF0"/>
    <w:rsid w:val="00022419"/>
    <w:rsid w:val="00044114"/>
    <w:rsid w:val="000753CC"/>
    <w:rsid w:val="00094DB7"/>
    <w:rsid w:val="000964DE"/>
    <w:rsid w:val="000A224A"/>
    <w:rsid w:val="000B2D52"/>
    <w:rsid w:val="000D193D"/>
    <w:rsid w:val="000D4802"/>
    <w:rsid w:val="000F356C"/>
    <w:rsid w:val="000F5820"/>
    <w:rsid w:val="001153EC"/>
    <w:rsid w:val="0015128C"/>
    <w:rsid w:val="00174F7D"/>
    <w:rsid w:val="001754FC"/>
    <w:rsid w:val="00187644"/>
    <w:rsid w:val="00194BD1"/>
    <w:rsid w:val="001A71E8"/>
    <w:rsid w:val="001C747C"/>
    <w:rsid w:val="0020471E"/>
    <w:rsid w:val="002132AA"/>
    <w:rsid w:val="00247F76"/>
    <w:rsid w:val="002511F4"/>
    <w:rsid w:val="002A6AFD"/>
    <w:rsid w:val="002B6176"/>
    <w:rsid w:val="002C46E2"/>
    <w:rsid w:val="002E3174"/>
    <w:rsid w:val="002F0492"/>
    <w:rsid w:val="0032066D"/>
    <w:rsid w:val="00320852"/>
    <w:rsid w:val="00337B49"/>
    <w:rsid w:val="003402CC"/>
    <w:rsid w:val="003456BB"/>
    <w:rsid w:val="00360F77"/>
    <w:rsid w:val="00372711"/>
    <w:rsid w:val="003A2DE5"/>
    <w:rsid w:val="003A37A8"/>
    <w:rsid w:val="003E6CAA"/>
    <w:rsid w:val="004000B9"/>
    <w:rsid w:val="004078E1"/>
    <w:rsid w:val="00447655"/>
    <w:rsid w:val="00463A1C"/>
    <w:rsid w:val="00470A29"/>
    <w:rsid w:val="00480DAD"/>
    <w:rsid w:val="004C090A"/>
    <w:rsid w:val="004C51FD"/>
    <w:rsid w:val="004D12DC"/>
    <w:rsid w:val="004D2B4F"/>
    <w:rsid w:val="004D2CA9"/>
    <w:rsid w:val="004D4C66"/>
    <w:rsid w:val="004E7549"/>
    <w:rsid w:val="00500C36"/>
    <w:rsid w:val="00501D52"/>
    <w:rsid w:val="005275FF"/>
    <w:rsid w:val="0053607C"/>
    <w:rsid w:val="00541EDB"/>
    <w:rsid w:val="005507DC"/>
    <w:rsid w:val="00562BE7"/>
    <w:rsid w:val="00566395"/>
    <w:rsid w:val="005723A5"/>
    <w:rsid w:val="00581F41"/>
    <w:rsid w:val="00584984"/>
    <w:rsid w:val="005868E5"/>
    <w:rsid w:val="00596510"/>
    <w:rsid w:val="00597412"/>
    <w:rsid w:val="005B0CF7"/>
    <w:rsid w:val="005B23E5"/>
    <w:rsid w:val="005B7B03"/>
    <w:rsid w:val="005C3EA7"/>
    <w:rsid w:val="005C620D"/>
    <w:rsid w:val="005E21F6"/>
    <w:rsid w:val="005E6E12"/>
    <w:rsid w:val="005E7284"/>
    <w:rsid w:val="005F5D5C"/>
    <w:rsid w:val="00621127"/>
    <w:rsid w:val="00623318"/>
    <w:rsid w:val="006307E7"/>
    <w:rsid w:val="00644658"/>
    <w:rsid w:val="00651E33"/>
    <w:rsid w:val="00681117"/>
    <w:rsid w:val="00681866"/>
    <w:rsid w:val="006863F7"/>
    <w:rsid w:val="00686A9C"/>
    <w:rsid w:val="0069365B"/>
    <w:rsid w:val="006C65E6"/>
    <w:rsid w:val="006D28AD"/>
    <w:rsid w:val="006E4B40"/>
    <w:rsid w:val="006E4C24"/>
    <w:rsid w:val="006F2208"/>
    <w:rsid w:val="0070293E"/>
    <w:rsid w:val="00702B14"/>
    <w:rsid w:val="0071297A"/>
    <w:rsid w:val="00714EA9"/>
    <w:rsid w:val="007158C5"/>
    <w:rsid w:val="00726B88"/>
    <w:rsid w:val="00776C8C"/>
    <w:rsid w:val="00776F6E"/>
    <w:rsid w:val="007B71B8"/>
    <w:rsid w:val="007C3885"/>
    <w:rsid w:val="007C39AE"/>
    <w:rsid w:val="007E7126"/>
    <w:rsid w:val="007F2703"/>
    <w:rsid w:val="007F3F62"/>
    <w:rsid w:val="007F4152"/>
    <w:rsid w:val="00804BCB"/>
    <w:rsid w:val="00811E92"/>
    <w:rsid w:val="0082090F"/>
    <w:rsid w:val="00827C97"/>
    <w:rsid w:val="00861234"/>
    <w:rsid w:val="00861945"/>
    <w:rsid w:val="00861CD6"/>
    <w:rsid w:val="008655E4"/>
    <w:rsid w:val="00871C12"/>
    <w:rsid w:val="0087588A"/>
    <w:rsid w:val="00882264"/>
    <w:rsid w:val="00883FA1"/>
    <w:rsid w:val="00896671"/>
    <w:rsid w:val="0089786B"/>
    <w:rsid w:val="008A7E18"/>
    <w:rsid w:val="008D5096"/>
    <w:rsid w:val="009007BB"/>
    <w:rsid w:val="009228E5"/>
    <w:rsid w:val="00923F43"/>
    <w:rsid w:val="00945C02"/>
    <w:rsid w:val="009830F0"/>
    <w:rsid w:val="00984009"/>
    <w:rsid w:val="009B58D1"/>
    <w:rsid w:val="00A07630"/>
    <w:rsid w:val="00A23E51"/>
    <w:rsid w:val="00A31D3E"/>
    <w:rsid w:val="00A376C0"/>
    <w:rsid w:val="00A52A17"/>
    <w:rsid w:val="00A5525D"/>
    <w:rsid w:val="00A626CA"/>
    <w:rsid w:val="00A65910"/>
    <w:rsid w:val="00A770F6"/>
    <w:rsid w:val="00A844B6"/>
    <w:rsid w:val="00AB0F90"/>
    <w:rsid w:val="00AB71AE"/>
    <w:rsid w:val="00AB755F"/>
    <w:rsid w:val="00AC14F3"/>
    <w:rsid w:val="00AE12A4"/>
    <w:rsid w:val="00AE58F8"/>
    <w:rsid w:val="00B02EB0"/>
    <w:rsid w:val="00B13051"/>
    <w:rsid w:val="00B22987"/>
    <w:rsid w:val="00B23B6D"/>
    <w:rsid w:val="00B2476E"/>
    <w:rsid w:val="00B348E6"/>
    <w:rsid w:val="00B50EF1"/>
    <w:rsid w:val="00B67670"/>
    <w:rsid w:val="00B803C2"/>
    <w:rsid w:val="00B94856"/>
    <w:rsid w:val="00B96CE9"/>
    <w:rsid w:val="00BD42D4"/>
    <w:rsid w:val="00BE07DB"/>
    <w:rsid w:val="00BE0C2B"/>
    <w:rsid w:val="00BF01B3"/>
    <w:rsid w:val="00BF51A3"/>
    <w:rsid w:val="00BF7D50"/>
    <w:rsid w:val="00C00620"/>
    <w:rsid w:val="00C540CB"/>
    <w:rsid w:val="00CA12D3"/>
    <w:rsid w:val="00CA15EA"/>
    <w:rsid w:val="00CA5D09"/>
    <w:rsid w:val="00CA792C"/>
    <w:rsid w:val="00CD298B"/>
    <w:rsid w:val="00CD42AA"/>
    <w:rsid w:val="00CF0000"/>
    <w:rsid w:val="00CF1E5F"/>
    <w:rsid w:val="00D0142B"/>
    <w:rsid w:val="00D0729E"/>
    <w:rsid w:val="00D12929"/>
    <w:rsid w:val="00D32AE4"/>
    <w:rsid w:val="00D42D24"/>
    <w:rsid w:val="00D73BB1"/>
    <w:rsid w:val="00D839E8"/>
    <w:rsid w:val="00D93DB8"/>
    <w:rsid w:val="00D96A9A"/>
    <w:rsid w:val="00DB63F4"/>
    <w:rsid w:val="00DF19B2"/>
    <w:rsid w:val="00DF367C"/>
    <w:rsid w:val="00DF4F36"/>
    <w:rsid w:val="00E17849"/>
    <w:rsid w:val="00E251DB"/>
    <w:rsid w:val="00E41386"/>
    <w:rsid w:val="00E446DD"/>
    <w:rsid w:val="00E64811"/>
    <w:rsid w:val="00E75616"/>
    <w:rsid w:val="00E76B6E"/>
    <w:rsid w:val="00E86F6C"/>
    <w:rsid w:val="00E86FEB"/>
    <w:rsid w:val="00E923C5"/>
    <w:rsid w:val="00EB305F"/>
    <w:rsid w:val="00EC4BFD"/>
    <w:rsid w:val="00F04FDC"/>
    <w:rsid w:val="00F26EAC"/>
    <w:rsid w:val="00F32D9B"/>
    <w:rsid w:val="00F33F71"/>
    <w:rsid w:val="00F40195"/>
    <w:rsid w:val="00F41D8B"/>
    <w:rsid w:val="00F50DD1"/>
    <w:rsid w:val="00F558D8"/>
    <w:rsid w:val="00F676CF"/>
    <w:rsid w:val="00F8022D"/>
    <w:rsid w:val="00F84211"/>
    <w:rsid w:val="00F85EE7"/>
    <w:rsid w:val="00F87C4A"/>
    <w:rsid w:val="00FA63E6"/>
    <w:rsid w:val="00FB12E1"/>
    <w:rsid w:val="00FB489C"/>
    <w:rsid w:val="00FC01CF"/>
    <w:rsid w:val="00FE6BA2"/>
    <w:rsid w:val="043C384C"/>
    <w:rsid w:val="07A45A81"/>
    <w:rsid w:val="08941723"/>
    <w:rsid w:val="094E2868"/>
    <w:rsid w:val="0B9941E4"/>
    <w:rsid w:val="0D9E6BC3"/>
    <w:rsid w:val="0DD12ABF"/>
    <w:rsid w:val="0DDA0EA2"/>
    <w:rsid w:val="12054F45"/>
    <w:rsid w:val="15BE1AA4"/>
    <w:rsid w:val="16F277D6"/>
    <w:rsid w:val="1E871AF1"/>
    <w:rsid w:val="25960859"/>
    <w:rsid w:val="27BD47E9"/>
    <w:rsid w:val="2C126ECC"/>
    <w:rsid w:val="2C427833"/>
    <w:rsid w:val="2D446828"/>
    <w:rsid w:val="2E7551C6"/>
    <w:rsid w:val="2F0F1DFB"/>
    <w:rsid w:val="304A3A1E"/>
    <w:rsid w:val="3BC74D09"/>
    <w:rsid w:val="3FB16252"/>
    <w:rsid w:val="44EB7EF6"/>
    <w:rsid w:val="49FA3F69"/>
    <w:rsid w:val="50C646AB"/>
    <w:rsid w:val="510355DF"/>
    <w:rsid w:val="52394245"/>
    <w:rsid w:val="527D3F32"/>
    <w:rsid w:val="532169AD"/>
    <w:rsid w:val="562A0424"/>
    <w:rsid w:val="586737FB"/>
    <w:rsid w:val="5D146FE6"/>
    <w:rsid w:val="61432F96"/>
    <w:rsid w:val="62675A5D"/>
    <w:rsid w:val="63803951"/>
    <w:rsid w:val="6642365A"/>
    <w:rsid w:val="66BD42C9"/>
    <w:rsid w:val="6CAA4935"/>
    <w:rsid w:val="6F135B54"/>
    <w:rsid w:val="71A53478"/>
    <w:rsid w:val="7BCB30E6"/>
    <w:rsid w:val="7C3B3F71"/>
    <w:rsid w:val="7E5C63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qFormat="1"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jc w:val="left"/>
      <w:outlineLvl w:val="0"/>
    </w:pPr>
    <w:rPr>
      <w:rFonts w:hint="eastAsia" w:ascii="宋体" w:hAnsi="宋体" w:eastAsia="宋体" w:cs="Times New Roman"/>
      <w:b/>
      <w:bCs/>
      <w:kern w:val="44"/>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semiHidden/>
    <w:unhideWhenUsed/>
    <w:qFormat/>
    <w:uiPriority w:val="99"/>
    <w:pPr>
      <w:ind w:left="420" w:leftChars="200"/>
    </w:pPr>
  </w:style>
  <w:style w:type="paragraph" w:styleId="4">
    <w:name w:val="annotation text"/>
    <w:basedOn w:val="1"/>
    <w:link w:val="17"/>
    <w:semiHidden/>
    <w:unhideWhenUsed/>
    <w:qFormat/>
    <w:uiPriority w:val="99"/>
    <w:pPr>
      <w:jc w:val="left"/>
    </w:pPr>
  </w:style>
  <w:style w:type="paragraph" w:styleId="5">
    <w:name w:val="Balloon Text"/>
    <w:basedOn w:val="1"/>
    <w:link w:val="16"/>
    <w:semiHidden/>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8"/>
    <w:semiHidden/>
    <w:unhideWhenUsed/>
    <w:qFormat/>
    <w:uiPriority w:val="99"/>
    <w:rPr>
      <w:b/>
      <w:bCs/>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FollowedHyperlink"/>
    <w:basedOn w:val="11"/>
    <w:semiHidden/>
    <w:unhideWhenUsed/>
    <w:qFormat/>
    <w:uiPriority w:val="99"/>
    <w:rPr>
      <w:color w:val="333333"/>
      <w:u w:val="none"/>
    </w:rPr>
  </w:style>
  <w:style w:type="character" w:styleId="13">
    <w:name w:val="Hyperlink"/>
    <w:basedOn w:val="11"/>
    <w:semiHidden/>
    <w:unhideWhenUsed/>
    <w:qFormat/>
    <w:uiPriority w:val="99"/>
    <w:rPr>
      <w:color w:val="333333"/>
      <w:u w:val="none"/>
    </w:rPr>
  </w:style>
  <w:style w:type="character" w:styleId="14">
    <w:name w:val="annotation reference"/>
    <w:basedOn w:val="11"/>
    <w:semiHidden/>
    <w:unhideWhenUsed/>
    <w:qFormat/>
    <w:uiPriority w:val="99"/>
    <w:rPr>
      <w:sz w:val="21"/>
      <w:szCs w:val="21"/>
    </w:rPr>
  </w:style>
  <w:style w:type="character" w:customStyle="1" w:styleId="15">
    <w:name w:val="页脚 Char"/>
    <w:basedOn w:val="11"/>
    <w:link w:val="6"/>
    <w:qFormat/>
    <w:uiPriority w:val="99"/>
    <w:rPr>
      <w:rFonts w:ascii="Times New Roman" w:hAnsi="Times New Roman" w:eastAsia="宋体" w:cs="Times New Roman"/>
      <w:sz w:val="18"/>
      <w:szCs w:val="18"/>
    </w:rPr>
  </w:style>
  <w:style w:type="character" w:customStyle="1" w:styleId="16">
    <w:name w:val="批注框文本 Char"/>
    <w:basedOn w:val="11"/>
    <w:link w:val="5"/>
    <w:semiHidden/>
    <w:qFormat/>
    <w:uiPriority w:val="99"/>
    <w:rPr>
      <w:sz w:val="18"/>
      <w:szCs w:val="18"/>
    </w:rPr>
  </w:style>
  <w:style w:type="character" w:customStyle="1" w:styleId="17">
    <w:name w:val="批注文字 Char"/>
    <w:basedOn w:val="11"/>
    <w:link w:val="4"/>
    <w:semiHidden/>
    <w:qFormat/>
    <w:uiPriority w:val="99"/>
  </w:style>
  <w:style w:type="character" w:customStyle="1" w:styleId="18">
    <w:name w:val="批注主题 Char"/>
    <w:basedOn w:val="17"/>
    <w:link w:val="8"/>
    <w:semiHidden/>
    <w:qFormat/>
    <w:uiPriority w:val="99"/>
    <w:rPr>
      <w:b/>
      <w:bCs/>
    </w:rPr>
  </w:style>
  <w:style w:type="character" w:customStyle="1" w:styleId="19">
    <w:name w:val="页眉 Char"/>
    <w:basedOn w:val="11"/>
    <w:link w:val="7"/>
    <w:qFormat/>
    <w:uiPriority w:val="99"/>
    <w:rPr>
      <w:sz w:val="18"/>
      <w:szCs w:val="18"/>
    </w:rPr>
  </w:style>
  <w:style w:type="character" w:customStyle="1" w:styleId="20">
    <w:name w:val="news_title"/>
    <w:basedOn w:val="11"/>
    <w:qFormat/>
    <w:uiPriority w:val="0"/>
  </w:style>
  <w:style w:type="character" w:customStyle="1" w:styleId="21">
    <w:name w:val="news_title1"/>
    <w:basedOn w:val="11"/>
    <w:qFormat/>
    <w:uiPriority w:val="0"/>
  </w:style>
  <w:style w:type="character" w:customStyle="1" w:styleId="22">
    <w:name w:val="news_meta"/>
    <w:basedOn w:val="11"/>
    <w:qFormat/>
    <w:uiPriority w:val="0"/>
    <w:rPr>
      <w:color w:val="FFFFFF"/>
      <w:shd w:val="clear" w:color="auto" w:fill="A9B152"/>
    </w:rPr>
  </w:style>
  <w:style w:type="character" w:customStyle="1" w:styleId="23">
    <w:name w:val="news_meta1"/>
    <w:basedOn w:val="11"/>
    <w:qFormat/>
    <w:uiPriority w:val="0"/>
  </w:style>
  <w:style w:type="character" w:customStyle="1" w:styleId="24">
    <w:name w:val="item-name"/>
    <w:basedOn w:val="11"/>
    <w:qFormat/>
    <w:uiPriority w:val="0"/>
  </w:style>
  <w:style w:type="character" w:customStyle="1" w:styleId="25">
    <w:name w:val="item-name1"/>
    <w:basedOn w:val="11"/>
    <w:qFormat/>
    <w:uiPriority w:val="0"/>
  </w:style>
  <w:style w:type="character" w:customStyle="1" w:styleId="26">
    <w:name w:val="item-name2"/>
    <w:basedOn w:val="11"/>
    <w:qFormat/>
    <w:uiPriority w:val="0"/>
  </w:style>
  <w:style w:type="character" w:customStyle="1" w:styleId="27">
    <w:name w:val="item-name3"/>
    <w:basedOn w:val="11"/>
    <w:qFormat/>
    <w:uiPriority w:val="0"/>
  </w:style>
  <w:style w:type="character" w:customStyle="1" w:styleId="28">
    <w:name w:val="pd"/>
    <w:basedOn w:val="11"/>
    <w:qFormat/>
    <w:uiPriority w:val="0"/>
  </w:style>
  <w:style w:type="character" w:customStyle="1" w:styleId="29">
    <w:name w:val="column-name12"/>
    <w:basedOn w:val="11"/>
    <w:qFormat/>
    <w:uiPriority w:val="0"/>
    <w:rPr>
      <w:color w:val="99212A"/>
    </w:rPr>
  </w:style>
  <w:style w:type="character" w:customStyle="1" w:styleId="30">
    <w:name w:val="column-name13"/>
    <w:basedOn w:val="11"/>
    <w:qFormat/>
    <w:uiPriority w:val="0"/>
    <w:rPr>
      <w:color w:val="124D83"/>
    </w:rPr>
  </w:style>
  <w:style w:type="character" w:customStyle="1" w:styleId="31">
    <w:name w:val="column-name14"/>
    <w:basedOn w:val="11"/>
    <w:qFormat/>
    <w:uiPriority w:val="0"/>
    <w:rPr>
      <w:color w:val="124D83"/>
    </w:rPr>
  </w:style>
  <w:style w:type="character" w:customStyle="1" w:styleId="32">
    <w:name w:val="column-name15"/>
    <w:basedOn w:val="11"/>
    <w:qFormat/>
    <w:uiPriority w:val="0"/>
    <w:rPr>
      <w:color w:val="124D83"/>
    </w:rPr>
  </w:style>
  <w:style w:type="character" w:customStyle="1" w:styleId="33">
    <w:name w:val="column-name16"/>
    <w:basedOn w:val="11"/>
    <w:qFormat/>
    <w:uiPriority w:val="0"/>
    <w:rPr>
      <w:color w:val="124D83"/>
    </w:rPr>
  </w:style>
  <w:style w:type="character" w:customStyle="1" w:styleId="34">
    <w:name w:val="NormalCharacter"/>
    <w:link w:val="1"/>
    <w:semiHidden/>
    <w:qFormat/>
    <w:uiPriority w:val="0"/>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1A1A8F-15C3-456B-A07A-D82174BD410D}">
  <ds:schemaRefs/>
</ds:datastoreItem>
</file>

<file path=docProps/app.xml><?xml version="1.0" encoding="utf-8"?>
<Properties xmlns="http://schemas.openxmlformats.org/officeDocument/2006/extended-properties" xmlns:vt="http://schemas.openxmlformats.org/officeDocument/2006/docPropsVTypes">
  <Template>Normal</Template>
  <Pages>25</Pages>
  <Words>10642</Words>
  <Characters>1587</Characters>
  <Lines>13</Lines>
  <Paragraphs>24</Paragraphs>
  <TotalTime>0</TotalTime>
  <ScaleCrop>false</ScaleCrop>
  <LinksUpToDate>false</LinksUpToDate>
  <CharactersWithSpaces>12205</CharactersWithSpaces>
  <Application>WPS Office_11.1.0.10503_F1E327BC-269C-435d-A152-05C5408002CA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2021-06-17T18:17:00Z</dcterms:created>
  <dc:creator>huang</dc:creator>
  <cp:lastModifiedBy>是你的益益益达</cp:lastModifiedBy>
  <cp:lastPrinted>2021-08-24T01:10:00Z</cp:lastPrinted>
  <dcterms:modified xsi:type="dcterms:W3CDTF">2021-08-26T00:42:11Z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CD1E672A587E4722B702561A102D7A87</vt:lpwstr>
  </property>
</Properties>
</file>