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utoSpaceDE w:val="0"/>
        <w:autoSpaceDN w:val="0"/>
        <w:spacing w:line="540" w:lineRule="exact"/>
        <w:jc w:val="left"/>
        <w:rPr>
          <w:rFonts w:hint="eastAsia" w:ascii="Times New Roman" w:hAnsi="Times New Roman" w:eastAsia="黑体"/>
          <w:kern w:val="0"/>
          <w:sz w:val="32"/>
          <w:szCs w:val="32"/>
          <w:lang w:eastAsia="zh-CN"/>
        </w:rPr>
      </w:pPr>
      <w:r>
        <w:rPr>
          <w:rFonts w:hint="eastAsia" w:ascii="Times New Roman" w:hAnsi="Times New Roman" w:eastAsia="黑体"/>
          <w:kern w:val="0"/>
          <w:sz w:val="32"/>
          <w:szCs w:val="32"/>
        </w:rPr>
        <w:t>附件</w:t>
      </w:r>
      <w:r>
        <w:rPr>
          <w:rFonts w:hint="eastAsia" w:ascii="Times New Roman" w:hAnsi="Times New Roman" w:eastAsia="黑体"/>
          <w:kern w:val="0"/>
          <w:sz w:val="32"/>
          <w:szCs w:val="32"/>
          <w:lang w:val="en-US" w:eastAsia="zh-CN"/>
        </w:rPr>
        <w:t>2</w:t>
      </w:r>
    </w:p>
    <w:p>
      <w:pPr>
        <w:widowControl/>
        <w:autoSpaceDE w:val="0"/>
        <w:autoSpaceDN w:val="0"/>
        <w:spacing w:line="300" w:lineRule="exact"/>
        <w:jc w:val="left"/>
        <w:rPr>
          <w:rFonts w:ascii="Times New Roman" w:hAnsi="Times New Roman" w:eastAsia="黑体"/>
          <w:kern w:val="0"/>
          <w:sz w:val="32"/>
          <w:szCs w:val="32"/>
        </w:rPr>
      </w:pPr>
    </w:p>
    <w:p>
      <w:pPr>
        <w:widowControl/>
        <w:autoSpaceDE w:val="0"/>
        <w:autoSpaceDN w:val="0"/>
        <w:spacing w:line="540" w:lineRule="exact"/>
        <w:jc w:val="center"/>
        <w:rPr>
          <w:rFonts w:hint="eastAsia" w:ascii="宋体" w:hAnsi="宋体" w:eastAsia="宋体" w:cs="宋体"/>
          <w:b/>
          <w:bCs w:val="0"/>
          <w:kern w:val="0"/>
          <w:sz w:val="32"/>
          <w:szCs w:val="32"/>
        </w:rPr>
      </w:pPr>
      <w:bookmarkStart w:id="0" w:name="_GoBack"/>
      <w:r>
        <w:rPr>
          <w:rFonts w:hint="eastAsia" w:ascii="宋体" w:hAnsi="宋体" w:eastAsia="宋体" w:cs="宋体"/>
          <w:b/>
          <w:bCs w:val="0"/>
          <w:kern w:val="0"/>
          <w:sz w:val="32"/>
          <w:szCs w:val="32"/>
          <w:lang w:eastAsia="zh-CN"/>
        </w:rPr>
        <w:t>安徽广播电视大学六安分校青年教师</w:t>
      </w:r>
      <w:r>
        <w:rPr>
          <w:rFonts w:hint="eastAsia" w:ascii="宋体" w:hAnsi="宋体" w:eastAsia="宋体" w:cs="宋体"/>
          <w:b/>
          <w:bCs w:val="0"/>
          <w:kern w:val="0"/>
          <w:sz w:val="32"/>
          <w:szCs w:val="32"/>
        </w:rPr>
        <w:t>教学设计</w:t>
      </w:r>
      <w:r>
        <w:rPr>
          <w:rFonts w:hint="eastAsia" w:ascii="宋体" w:hAnsi="宋体" w:eastAsia="宋体" w:cs="宋体"/>
          <w:b/>
          <w:bCs w:val="0"/>
          <w:kern w:val="0"/>
          <w:sz w:val="32"/>
          <w:szCs w:val="32"/>
          <w:lang w:eastAsia="zh-CN"/>
        </w:rPr>
        <w:t>大赛</w:t>
      </w:r>
      <w:r>
        <w:rPr>
          <w:rFonts w:hint="eastAsia" w:ascii="宋体" w:hAnsi="宋体" w:eastAsia="宋体" w:cs="宋体"/>
          <w:b/>
          <w:bCs w:val="0"/>
          <w:kern w:val="0"/>
          <w:sz w:val="32"/>
          <w:szCs w:val="32"/>
        </w:rPr>
        <w:t>评分表</w:t>
      </w:r>
    </w:p>
    <w:bookmarkEnd w:id="0"/>
    <w:p>
      <w:pPr>
        <w:jc w:val="left"/>
        <w:rPr>
          <w:rFonts w:ascii="Times New Roman" w:hAnsi="Times New Roman" w:eastAsia="仿宋"/>
          <w:sz w:val="28"/>
          <w:szCs w:val="28"/>
          <w:u w:val="single"/>
        </w:rPr>
      </w:pPr>
      <w:r>
        <w:rPr>
          <w:rFonts w:hint="eastAsia" w:ascii="Times New Roman" w:hAnsi="Times New Roman" w:eastAsia="仿宋"/>
          <w:sz w:val="28"/>
          <w:szCs w:val="28"/>
        </w:rPr>
        <w:t>课程名称</w:t>
      </w:r>
      <w:r>
        <w:rPr>
          <w:rFonts w:ascii="Times New Roman" w:hAnsi="Times New Roman" w:eastAsia="仿宋"/>
          <w:sz w:val="28"/>
          <w:szCs w:val="28"/>
        </w:rPr>
        <w:t xml:space="preserve">: </w:t>
      </w:r>
      <w:r>
        <w:rPr>
          <w:rFonts w:ascii="Times New Roman" w:hAnsi="Times New Roman" w:eastAsia="仿宋"/>
          <w:sz w:val="28"/>
          <w:szCs w:val="28"/>
          <w:u w:val="single"/>
        </w:rPr>
        <w:t xml:space="preserve">                            </w:t>
      </w:r>
      <w:r>
        <w:rPr>
          <w:rFonts w:ascii="Times New Roman" w:hAnsi="Times New Roman" w:eastAsia="仿宋"/>
          <w:sz w:val="28"/>
          <w:szCs w:val="28"/>
        </w:rPr>
        <w:t xml:space="preserve">  </w:t>
      </w:r>
      <w:r>
        <w:rPr>
          <w:rFonts w:hint="eastAsia" w:ascii="Times New Roman" w:hAnsi="Times New Roman" w:eastAsia="仿宋"/>
          <w:sz w:val="28"/>
          <w:szCs w:val="28"/>
        </w:rPr>
        <w:t>任课教师</w:t>
      </w:r>
      <w:r>
        <w:rPr>
          <w:rFonts w:ascii="Times New Roman" w:hAnsi="Times New Roman" w:eastAsia="仿宋"/>
          <w:sz w:val="28"/>
          <w:szCs w:val="28"/>
        </w:rPr>
        <w:t xml:space="preserve"> : </w:t>
      </w:r>
      <w:r>
        <w:rPr>
          <w:rFonts w:ascii="Times New Roman" w:hAnsi="Times New Roman" w:eastAsia="仿宋"/>
          <w:sz w:val="28"/>
          <w:szCs w:val="28"/>
          <w:u w:val="single"/>
        </w:rPr>
        <w:t xml:space="preserve">              </w:t>
      </w:r>
    </w:p>
    <w:tbl>
      <w:tblPr>
        <w:tblStyle w:val="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850"/>
        <w:gridCol w:w="4961"/>
        <w:gridCol w:w="850"/>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jc w:val="center"/>
        </w:trPr>
        <w:tc>
          <w:tcPr>
            <w:tcW w:w="141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评价</w:t>
            </w:r>
          </w:p>
          <w:p>
            <w:pPr>
              <w:snapToGrid w:val="0"/>
              <w:jc w:val="center"/>
              <w:rPr>
                <w:rFonts w:ascii="Times New Roman" w:hAnsi="Times New Roman" w:eastAsia="仿宋"/>
                <w:b/>
                <w:sz w:val="28"/>
                <w:szCs w:val="28"/>
              </w:rPr>
            </w:pPr>
            <w:r>
              <w:rPr>
                <w:rFonts w:hint="eastAsia" w:ascii="Times New Roman" w:hAnsi="Times New Roman" w:eastAsia="仿宋"/>
                <w:b/>
                <w:sz w:val="28"/>
                <w:szCs w:val="28"/>
              </w:rPr>
              <w:t>指标</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分值</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评分内容</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分值</w:t>
            </w:r>
          </w:p>
        </w:tc>
        <w:tc>
          <w:tcPr>
            <w:tcW w:w="116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1417"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教学目标</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25</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教学目标设计充分，与</w:t>
            </w:r>
            <w:r>
              <w:rPr>
                <w:rFonts w:ascii="Times New Roman" w:hAnsi="Times New Roman" w:eastAsia="仿宋"/>
                <w:sz w:val="28"/>
                <w:szCs w:val="28"/>
              </w:rPr>
              <w:t>“</w:t>
            </w:r>
            <w:r>
              <w:rPr>
                <w:rFonts w:hint="eastAsia" w:ascii="Times New Roman" w:hAnsi="Times New Roman" w:eastAsia="仿宋"/>
                <w:sz w:val="28"/>
                <w:szCs w:val="28"/>
              </w:rPr>
              <w:t>课程思政</w:t>
            </w:r>
            <w:r>
              <w:rPr>
                <w:rFonts w:ascii="Times New Roman" w:hAnsi="Times New Roman" w:eastAsia="仿宋"/>
                <w:sz w:val="28"/>
                <w:szCs w:val="28"/>
              </w:rPr>
              <w:t>”</w:t>
            </w:r>
            <w:r>
              <w:rPr>
                <w:rFonts w:hint="eastAsia" w:ascii="Times New Roman" w:hAnsi="Times New Roman" w:eastAsia="仿宋"/>
                <w:sz w:val="28"/>
                <w:szCs w:val="28"/>
              </w:rPr>
              <w:t>的育人目标相吻合；</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15</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0" w:hRule="atLeast"/>
          <w:jc w:val="center"/>
        </w:trPr>
        <w:tc>
          <w:tcPr>
            <w:tcW w:w="14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b/>
                <w:sz w:val="28"/>
                <w:szCs w:val="28"/>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sz w:val="28"/>
                <w:szCs w:val="28"/>
              </w:rPr>
            </w:pP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教学目标设计科学，符合开放大学学生认知规律和教学实际。</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10</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1417"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教学内容</w:t>
            </w:r>
          </w:p>
          <w:p>
            <w:pPr>
              <w:snapToGrid w:val="0"/>
              <w:jc w:val="center"/>
              <w:rPr>
                <w:rFonts w:ascii="Times New Roman" w:hAnsi="Times New Roman" w:eastAsia="仿宋"/>
                <w:b/>
                <w:sz w:val="28"/>
                <w:szCs w:val="28"/>
              </w:rPr>
            </w:pPr>
            <w:r>
              <w:rPr>
                <w:rFonts w:hint="eastAsia" w:ascii="Times New Roman" w:hAnsi="Times New Roman" w:eastAsia="仿宋"/>
                <w:b/>
                <w:sz w:val="28"/>
                <w:szCs w:val="28"/>
              </w:rPr>
              <w:t>教学过程</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45</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精心设计教学内容各个环节，善于提炼专业课程中蕴含的育人因素；</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15</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5" w:hRule="atLeast"/>
          <w:jc w:val="center"/>
        </w:trPr>
        <w:tc>
          <w:tcPr>
            <w:tcW w:w="14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b/>
                <w:sz w:val="28"/>
                <w:szCs w:val="28"/>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sz w:val="28"/>
                <w:szCs w:val="28"/>
              </w:rPr>
            </w:pP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能将思政元素和专业知识有机融合，内容设计呈现恰当，教学活动设计合理；</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10</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5" w:hRule="atLeast"/>
          <w:jc w:val="center"/>
        </w:trPr>
        <w:tc>
          <w:tcPr>
            <w:tcW w:w="14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b/>
                <w:sz w:val="28"/>
                <w:szCs w:val="28"/>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sz w:val="28"/>
                <w:szCs w:val="28"/>
              </w:rPr>
            </w:pP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教学内容设计能够整合运用现代信息技术手段和各种媒体资源把思政教育有机融合到教学全过程；</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10</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2" w:hRule="atLeast"/>
          <w:jc w:val="center"/>
        </w:trPr>
        <w:tc>
          <w:tcPr>
            <w:tcW w:w="14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b/>
                <w:sz w:val="28"/>
                <w:szCs w:val="28"/>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sz w:val="28"/>
                <w:szCs w:val="28"/>
              </w:rPr>
            </w:pP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教学内容和教学过程设计注重教学互动性，突出学生主体地位，能充分调动学生学习积极性和主动性。</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10</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4" w:hRule="atLeast"/>
          <w:jc w:val="center"/>
        </w:trPr>
        <w:tc>
          <w:tcPr>
            <w:tcW w:w="1417"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教学方法教学策略</w:t>
            </w:r>
          </w:p>
        </w:tc>
        <w:tc>
          <w:tcPr>
            <w:tcW w:w="85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15</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教学方法设计运用恰当，教学策略设计合理，能有效达到育人目标；</w:t>
            </w:r>
            <w:r>
              <w:rPr>
                <w:rFonts w:ascii="Times New Roman" w:hAnsi="Times New Roman" w:eastAsia="仿宋"/>
                <w:sz w:val="28"/>
                <w:szCs w:val="28"/>
              </w:rPr>
              <w:t xml:space="preserve"> </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10</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3" w:hRule="atLeast"/>
          <w:jc w:val="center"/>
        </w:trPr>
        <w:tc>
          <w:tcPr>
            <w:tcW w:w="14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b/>
                <w:sz w:val="28"/>
                <w:szCs w:val="28"/>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仿宋"/>
                <w:sz w:val="28"/>
                <w:szCs w:val="28"/>
              </w:rPr>
            </w:pP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采用多样化教学方法与教学策略，教学手段更加丰富，能吸引学生。</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5</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1417"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b/>
                <w:sz w:val="28"/>
                <w:szCs w:val="28"/>
              </w:rPr>
            </w:pPr>
            <w:r>
              <w:rPr>
                <w:rFonts w:hint="eastAsia" w:ascii="Times New Roman" w:hAnsi="Times New Roman" w:eastAsia="仿宋"/>
                <w:b/>
                <w:sz w:val="28"/>
                <w:szCs w:val="28"/>
              </w:rPr>
              <w:t>教学创新与特色</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15</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eastAsia="仿宋"/>
                <w:sz w:val="28"/>
                <w:szCs w:val="28"/>
              </w:rPr>
            </w:pPr>
            <w:r>
              <w:rPr>
                <w:rFonts w:hint="eastAsia" w:ascii="Times New Roman" w:hAnsi="Times New Roman" w:eastAsia="仿宋"/>
                <w:sz w:val="28"/>
                <w:szCs w:val="28"/>
              </w:rPr>
              <w:t>教学设计能结合课程特色挖掘育人因素，在某些环节有所创新，特色鲜明，具有较强的示范性和推广性。</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eastAsia="仿宋"/>
                <w:sz w:val="28"/>
                <w:szCs w:val="28"/>
              </w:rPr>
            </w:pPr>
            <w:r>
              <w:rPr>
                <w:rFonts w:ascii="Times New Roman" w:hAnsi="Times New Roman" w:eastAsia="仿宋"/>
                <w:sz w:val="28"/>
                <w:szCs w:val="28"/>
              </w:rPr>
              <w:t>15</w:t>
            </w:r>
          </w:p>
        </w:tc>
        <w:tc>
          <w:tcPr>
            <w:tcW w:w="1162" w:type="dxa"/>
            <w:tcBorders>
              <w:top w:val="single" w:color="auto" w:sz="4" w:space="0"/>
              <w:left w:val="single" w:color="auto" w:sz="4" w:space="0"/>
              <w:bottom w:val="single" w:color="auto" w:sz="4" w:space="0"/>
              <w:right w:val="single" w:color="auto" w:sz="4" w:space="0"/>
            </w:tcBorders>
          </w:tcPr>
          <w:p>
            <w:pPr>
              <w:snapToGrid w:val="0"/>
              <w:jc w:val="center"/>
              <w:rPr>
                <w:rFonts w:ascii="Times New Roman" w:hAnsi="Times New Roman" w:eastAsia="仿宋"/>
                <w:sz w:val="28"/>
                <w:szCs w:val="28"/>
              </w:rPr>
            </w:pPr>
          </w:p>
        </w:tc>
      </w:tr>
    </w:tbl>
    <w:p>
      <w:pPr>
        <w:rPr>
          <w:rFonts w:hint="eastAsia" w:ascii="Times New Roman" w:hAnsi="Times New Roman" w:eastAsia="仿宋"/>
          <w:sz w:val="30"/>
          <w:szCs w:val="30"/>
        </w:rPr>
      </w:pPr>
    </w:p>
    <w:p>
      <w:pPr>
        <w:rPr>
          <w:rFonts w:ascii="Times New Roman" w:hAnsi="Times New Roman" w:eastAsia="仿宋"/>
          <w:sz w:val="30"/>
          <w:szCs w:val="30"/>
          <w:u w:val="single"/>
        </w:rPr>
      </w:pPr>
      <w:r>
        <w:rPr>
          <w:rFonts w:hint="eastAsia" w:ascii="Times New Roman" w:hAnsi="Times New Roman" w:eastAsia="仿宋"/>
          <w:sz w:val="30"/>
          <w:szCs w:val="30"/>
        </w:rPr>
        <w:t>评委签字</w:t>
      </w:r>
      <w:r>
        <w:rPr>
          <w:rFonts w:ascii="Times New Roman" w:hAnsi="Times New Roman" w:eastAsia="仿宋"/>
          <w:sz w:val="30"/>
          <w:szCs w:val="30"/>
        </w:rPr>
        <w:t>:</w:t>
      </w:r>
      <w:r>
        <w:rPr>
          <w:rFonts w:ascii="Times New Roman" w:hAnsi="Times New Roman" w:eastAsia="仿宋"/>
          <w:sz w:val="30"/>
          <w:szCs w:val="30"/>
          <w:u w:val="single"/>
        </w:rPr>
        <w:t xml:space="preserve">             </w:t>
      </w:r>
      <w:r>
        <w:rPr>
          <w:rFonts w:hint="eastAsia" w:ascii="Times New Roman" w:hAnsi="Times New Roman" w:eastAsia="仿宋"/>
          <w:sz w:val="30"/>
          <w:szCs w:val="30"/>
          <w:u w:val="single"/>
          <w:lang w:val="en-US" w:eastAsia="zh-CN"/>
        </w:rPr>
        <w:t xml:space="preserve">     </w:t>
      </w:r>
      <w:r>
        <w:rPr>
          <w:rFonts w:hint="eastAsia" w:ascii="Times New Roman" w:hAnsi="Times New Roman" w:eastAsia="仿宋"/>
          <w:sz w:val="30"/>
          <w:szCs w:val="30"/>
        </w:rPr>
        <w:t>评审时间</w:t>
      </w:r>
      <w:r>
        <w:rPr>
          <w:rFonts w:ascii="Times New Roman" w:hAnsi="Times New Roman" w:eastAsia="仿宋"/>
          <w:sz w:val="30"/>
          <w:szCs w:val="30"/>
        </w:rPr>
        <w:t>:</w:t>
      </w:r>
      <w:r>
        <w:rPr>
          <w:rFonts w:ascii="Times New Roman" w:hAnsi="Times New Roman" w:eastAsia="仿宋"/>
          <w:sz w:val="30"/>
          <w:szCs w:val="30"/>
          <w:u w:val="single"/>
        </w:rPr>
        <w:t xml:space="preserve">             </w:t>
      </w:r>
    </w:p>
    <w:p>
      <w:pPr>
        <w:widowControl/>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349"/>
    <w:rsid w:val="000F75C3"/>
    <w:rsid w:val="00242662"/>
    <w:rsid w:val="002E7BED"/>
    <w:rsid w:val="00383666"/>
    <w:rsid w:val="0065758E"/>
    <w:rsid w:val="008F7A48"/>
    <w:rsid w:val="009607F9"/>
    <w:rsid w:val="00A62331"/>
    <w:rsid w:val="00B07349"/>
    <w:rsid w:val="00D939FE"/>
    <w:rsid w:val="03565444"/>
    <w:rsid w:val="03F95A2F"/>
    <w:rsid w:val="0F934A1F"/>
    <w:rsid w:val="19712E8A"/>
    <w:rsid w:val="208C5CC6"/>
    <w:rsid w:val="26ED7673"/>
    <w:rsid w:val="2ACE15F4"/>
    <w:rsid w:val="5E2842ED"/>
    <w:rsid w:val="684A5982"/>
    <w:rsid w:val="68815F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semiHidden/>
    <w:unhideWhenUsed/>
    <w:uiPriority w:val="99"/>
    <w:pPr>
      <w:ind w:left="420" w:leftChars="200"/>
    </w:p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rFonts w:ascii="等线" w:hAnsi="等线" w:eastAsia="等线" w:cs="Times New Roman"/>
      <w:kern w:val="2"/>
      <w:sz w:val="18"/>
      <w:szCs w:val="18"/>
    </w:rPr>
  </w:style>
  <w:style w:type="character" w:customStyle="1" w:styleId="8">
    <w:name w:val="页脚 字符"/>
    <w:basedOn w:val="6"/>
    <w:link w:val="3"/>
    <w:qFormat/>
    <w:uiPriority w:val="99"/>
    <w:rPr>
      <w:rFonts w:ascii="等线" w:hAnsi="等线" w:eastAsia="等线"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199</Words>
  <Characters>1139</Characters>
  <Lines>9</Lines>
  <Paragraphs>2</Paragraphs>
  <TotalTime>13</TotalTime>
  <ScaleCrop>false</ScaleCrop>
  <LinksUpToDate>false</LinksUpToDate>
  <CharactersWithSpaces>1336</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2020-06-24T02:57:00Z</dcterms:created>
  <dc:creator>胡晓雨</dc:creator>
  <cp:lastModifiedBy>是你的益益益达</cp:lastModifiedBy>
  <dcterms:modified xsi:type="dcterms:W3CDTF">2021-10-28T01:06:31Z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3979D8AB9ABF426A8EC165525F17AA9F</vt:lpwstr>
  </property>
</Properties>
</file>